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02" w:rsidRPr="00883F87" w:rsidRDefault="00FC7C02" w:rsidP="00883F87">
      <w:pPr>
        <w:jc w:val="both"/>
        <w:rPr>
          <w:b/>
          <w:bCs/>
        </w:rPr>
      </w:pPr>
    </w:p>
    <w:p w:rsidR="00FC7C02" w:rsidRPr="006B1352" w:rsidRDefault="006B1352" w:rsidP="00883F87">
      <w:pPr>
        <w:tabs>
          <w:tab w:val="left" w:pos="210"/>
        </w:tabs>
        <w:jc w:val="both"/>
        <w:rPr>
          <w:bCs/>
        </w:rPr>
      </w:pPr>
      <w:r>
        <w:rPr>
          <w:bCs/>
        </w:rPr>
        <w:t xml:space="preserve">Naziv obveznika: </w:t>
      </w:r>
      <w:r w:rsidR="00FC7C02" w:rsidRPr="006B1352">
        <w:rPr>
          <w:bCs/>
        </w:rPr>
        <w:t>MINISTARSTVO FINANCIJA</w:t>
      </w:r>
    </w:p>
    <w:p w:rsidR="006B1352" w:rsidRDefault="006B1352" w:rsidP="00883F87">
      <w:pPr>
        <w:tabs>
          <w:tab w:val="left" w:pos="210"/>
        </w:tabs>
        <w:jc w:val="both"/>
        <w:rPr>
          <w:bCs/>
        </w:rPr>
      </w:pPr>
      <w:r>
        <w:rPr>
          <w:bCs/>
        </w:rPr>
        <w:t>Poštanski broj: 10000</w:t>
      </w:r>
    </w:p>
    <w:p w:rsidR="006B1352" w:rsidRDefault="006B1352" w:rsidP="00883F87">
      <w:pPr>
        <w:tabs>
          <w:tab w:val="left" w:pos="210"/>
        </w:tabs>
        <w:jc w:val="both"/>
        <w:rPr>
          <w:bCs/>
        </w:rPr>
      </w:pPr>
      <w:r>
        <w:rPr>
          <w:bCs/>
        </w:rPr>
        <w:t xml:space="preserve">Mjesto: </w:t>
      </w:r>
      <w:r w:rsidR="00FC7C02" w:rsidRPr="006B1352">
        <w:rPr>
          <w:bCs/>
        </w:rPr>
        <w:t>ZAGREB</w:t>
      </w:r>
    </w:p>
    <w:p w:rsidR="00FC7C02" w:rsidRPr="006B1352" w:rsidRDefault="006B1352" w:rsidP="00883F87">
      <w:pPr>
        <w:tabs>
          <w:tab w:val="left" w:pos="210"/>
        </w:tabs>
        <w:jc w:val="both"/>
        <w:rPr>
          <w:bCs/>
        </w:rPr>
      </w:pPr>
      <w:r>
        <w:rPr>
          <w:bCs/>
        </w:rPr>
        <w:t xml:space="preserve">Adresa sjedišta: </w:t>
      </w:r>
      <w:r w:rsidR="00FC7C02" w:rsidRPr="006B1352">
        <w:rPr>
          <w:bCs/>
        </w:rPr>
        <w:t>KATANČIĆEVA 5</w:t>
      </w:r>
    </w:p>
    <w:p w:rsidR="00FC7C02" w:rsidRPr="006B1352" w:rsidRDefault="006B135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>Matični broj</w:t>
      </w:r>
      <w:r w:rsidR="00FC7C02" w:rsidRPr="006B1352">
        <w:rPr>
          <w:bCs/>
        </w:rPr>
        <w:t>: 03205991</w:t>
      </w:r>
    </w:p>
    <w:p w:rsidR="00FC7C02" w:rsidRPr="006B1352" w:rsidRDefault="00FC7C0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>OIB : 18683136487</w:t>
      </w:r>
    </w:p>
    <w:p w:rsidR="00FC7C02" w:rsidRPr="006B1352" w:rsidRDefault="006B135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>Razina</w:t>
      </w:r>
      <w:r w:rsidR="00FC7C02" w:rsidRPr="006B1352">
        <w:rPr>
          <w:bCs/>
        </w:rPr>
        <w:t>:</w:t>
      </w:r>
      <w:r>
        <w:rPr>
          <w:bCs/>
        </w:rPr>
        <w:t xml:space="preserve"> </w:t>
      </w:r>
      <w:r w:rsidR="00FC7C02" w:rsidRPr="006B1352">
        <w:rPr>
          <w:bCs/>
        </w:rPr>
        <w:t>12</w:t>
      </w:r>
      <w:r w:rsidRPr="006B1352">
        <w:rPr>
          <w:bCs/>
        </w:rPr>
        <w:t xml:space="preserve"> </w:t>
      </w:r>
    </w:p>
    <w:p w:rsidR="00FC7C02" w:rsidRPr="006B1352" w:rsidRDefault="006B135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>Razdjel</w:t>
      </w:r>
      <w:r w:rsidR="00FC7C02" w:rsidRPr="006B1352">
        <w:rPr>
          <w:bCs/>
        </w:rPr>
        <w:t>:</w:t>
      </w:r>
      <w:r w:rsidR="00AC53E9" w:rsidRPr="006B1352">
        <w:rPr>
          <w:bCs/>
        </w:rPr>
        <w:t xml:space="preserve"> </w:t>
      </w:r>
      <w:r w:rsidR="00FC7C02" w:rsidRPr="006B1352">
        <w:rPr>
          <w:bCs/>
        </w:rPr>
        <w:t xml:space="preserve">025 </w:t>
      </w:r>
    </w:p>
    <w:p w:rsidR="006B1352" w:rsidRPr="006B1352" w:rsidRDefault="006B135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 xml:space="preserve">Šifra djelatnosti: 8411 </w:t>
      </w:r>
      <w:r w:rsidR="007E42C5">
        <w:rPr>
          <w:bCs/>
        </w:rPr>
        <w:t>Opća djelatnost javne uprave</w:t>
      </w:r>
    </w:p>
    <w:p w:rsidR="006B1352" w:rsidRPr="006B1352" w:rsidRDefault="006B135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>Šifra županije: 21</w:t>
      </w:r>
    </w:p>
    <w:p w:rsidR="006B1352" w:rsidRPr="006B1352" w:rsidRDefault="006B135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>Šifra grada: 133</w:t>
      </w:r>
    </w:p>
    <w:p w:rsidR="006B1352" w:rsidRPr="006B1352" w:rsidRDefault="006B1352" w:rsidP="00883F87">
      <w:pPr>
        <w:tabs>
          <w:tab w:val="left" w:pos="210"/>
        </w:tabs>
        <w:jc w:val="both"/>
        <w:rPr>
          <w:bCs/>
        </w:rPr>
      </w:pPr>
      <w:r w:rsidRPr="006B1352">
        <w:rPr>
          <w:bCs/>
        </w:rPr>
        <w:t>Oznaka razdoblja: 2020-12</w:t>
      </w:r>
    </w:p>
    <w:p w:rsidR="00FC7C02" w:rsidRPr="00883F87" w:rsidRDefault="00FC7C02" w:rsidP="00883F87">
      <w:pPr>
        <w:jc w:val="both"/>
        <w:rPr>
          <w:b/>
          <w:bCs/>
        </w:rPr>
      </w:pPr>
    </w:p>
    <w:p w:rsidR="00AB2446" w:rsidRPr="00883F87" w:rsidRDefault="00AB2446" w:rsidP="00883F87">
      <w:pPr>
        <w:jc w:val="both"/>
        <w:rPr>
          <w:b/>
          <w:bCs/>
        </w:rPr>
      </w:pPr>
    </w:p>
    <w:p w:rsidR="00AB4AA8" w:rsidRDefault="00CD4F43" w:rsidP="00D878A9">
      <w:pPr>
        <w:jc w:val="center"/>
        <w:rPr>
          <w:b/>
          <w:bCs/>
        </w:rPr>
      </w:pPr>
      <w:r w:rsidRPr="00883F87">
        <w:rPr>
          <w:b/>
          <w:bCs/>
        </w:rPr>
        <w:t>BILJEŠKE UZ</w:t>
      </w:r>
      <w:r w:rsidR="00D878A9">
        <w:rPr>
          <w:b/>
          <w:bCs/>
        </w:rPr>
        <w:t xml:space="preserve"> KONSOLIDIRANA FINANCIJSKA IZV</w:t>
      </w:r>
      <w:r w:rsidRPr="00883F87">
        <w:rPr>
          <w:b/>
          <w:bCs/>
        </w:rPr>
        <w:t xml:space="preserve">JEŠĆA </w:t>
      </w:r>
    </w:p>
    <w:p w:rsidR="00CD4F43" w:rsidRPr="00883F87" w:rsidRDefault="00CD4F43" w:rsidP="00D878A9">
      <w:pPr>
        <w:jc w:val="center"/>
        <w:rPr>
          <w:b/>
          <w:bCs/>
        </w:rPr>
      </w:pPr>
      <w:r w:rsidRPr="00883F87">
        <w:rPr>
          <w:b/>
          <w:bCs/>
        </w:rPr>
        <w:t xml:space="preserve">MINISTARSTVA </w:t>
      </w:r>
      <w:r w:rsidR="00D7682A" w:rsidRPr="00883F87">
        <w:rPr>
          <w:b/>
          <w:bCs/>
        </w:rPr>
        <w:t>FINANCIJA ZA 20</w:t>
      </w:r>
      <w:r w:rsidR="00A91226">
        <w:rPr>
          <w:b/>
          <w:bCs/>
        </w:rPr>
        <w:t>20</w:t>
      </w:r>
      <w:r w:rsidRPr="00883F87">
        <w:rPr>
          <w:b/>
          <w:bCs/>
        </w:rPr>
        <w:t>. GODINU</w:t>
      </w:r>
    </w:p>
    <w:p w:rsidR="00AB2446" w:rsidRPr="00883F87" w:rsidRDefault="00AB2446" w:rsidP="00883F87">
      <w:pPr>
        <w:jc w:val="both"/>
        <w:rPr>
          <w:b/>
          <w:bCs/>
        </w:rPr>
      </w:pPr>
    </w:p>
    <w:p w:rsidR="00CD4F43" w:rsidRPr="00883F87" w:rsidRDefault="00CD4F43" w:rsidP="00883F87">
      <w:pPr>
        <w:jc w:val="both"/>
        <w:rPr>
          <w:b/>
          <w:bCs/>
        </w:rPr>
      </w:pPr>
    </w:p>
    <w:p w:rsidR="00CD4F43" w:rsidRDefault="00CD4F43" w:rsidP="00883F87">
      <w:pPr>
        <w:jc w:val="both"/>
      </w:pPr>
      <w:r w:rsidRPr="00883F87">
        <w:t>U konsolidiranim financijskim izvještajima obuhvaćene su sljedeće glave u razdjelu 025 Ministarstvo financija:</w:t>
      </w:r>
    </w:p>
    <w:p w:rsidR="00AB4AA8" w:rsidRPr="00883F87" w:rsidRDefault="00AB4AA8" w:rsidP="00883F87">
      <w:pPr>
        <w:jc w:val="both"/>
      </w:pPr>
    </w:p>
    <w:p w:rsidR="00CD4F43" w:rsidRPr="00883F87" w:rsidRDefault="00CD4F43" w:rsidP="00883F87">
      <w:pPr>
        <w:numPr>
          <w:ilvl w:val="0"/>
          <w:numId w:val="2"/>
        </w:numPr>
        <w:jc w:val="both"/>
      </w:pPr>
      <w:r w:rsidRPr="00883F87">
        <w:t xml:space="preserve">Glava </w:t>
      </w:r>
      <w:r w:rsidR="00A274FA">
        <w:t>025</w:t>
      </w:r>
      <w:r w:rsidRPr="00883F87">
        <w:t>05 Ministarstvo financija</w:t>
      </w:r>
      <w:r w:rsidR="00FC7C02" w:rsidRPr="00883F87">
        <w:t>, RKP 20157</w:t>
      </w:r>
    </w:p>
    <w:p w:rsidR="00CD4F43" w:rsidRPr="00883F87" w:rsidRDefault="00CD4F43" w:rsidP="00883F87">
      <w:pPr>
        <w:numPr>
          <w:ilvl w:val="0"/>
          <w:numId w:val="2"/>
        </w:numPr>
        <w:jc w:val="both"/>
      </w:pPr>
      <w:r w:rsidRPr="00883F87">
        <w:t xml:space="preserve">Glava </w:t>
      </w:r>
      <w:r w:rsidR="00A274FA">
        <w:t>025</w:t>
      </w:r>
      <w:r w:rsidRPr="00883F87">
        <w:t>10 Carinska uprava</w:t>
      </w:r>
      <w:r w:rsidR="00FC7C02" w:rsidRPr="00883F87">
        <w:t>, RKP 20165</w:t>
      </w:r>
    </w:p>
    <w:p w:rsidR="00CD4F43" w:rsidRPr="00883F87" w:rsidRDefault="00A274FA" w:rsidP="00883F87">
      <w:pPr>
        <w:numPr>
          <w:ilvl w:val="0"/>
          <w:numId w:val="2"/>
        </w:numPr>
        <w:jc w:val="both"/>
      </w:pPr>
      <w:r>
        <w:t>Glava 025</w:t>
      </w:r>
      <w:r w:rsidR="00CD4F43" w:rsidRPr="00883F87">
        <w:t>15 Porezna uprava</w:t>
      </w:r>
      <w:r w:rsidR="00FC7C02" w:rsidRPr="00883F87">
        <w:t>, RKP 20181</w:t>
      </w:r>
    </w:p>
    <w:p w:rsidR="00CD4F43" w:rsidRPr="00883F87" w:rsidRDefault="00A274FA" w:rsidP="00883F87">
      <w:pPr>
        <w:numPr>
          <w:ilvl w:val="0"/>
          <w:numId w:val="2"/>
        </w:numPr>
        <w:jc w:val="both"/>
      </w:pPr>
      <w:r>
        <w:t>Glava 025</w:t>
      </w:r>
      <w:r w:rsidR="00CD4F43" w:rsidRPr="00883F87">
        <w:t>40 Agencija za reviziju sustava provedbe programa Europske unije</w:t>
      </w:r>
      <w:r w:rsidR="007942FA">
        <w:t xml:space="preserve">, </w:t>
      </w:r>
      <w:r w:rsidR="00AC53E9">
        <w:t>RKP 43732</w:t>
      </w:r>
      <w:r w:rsidR="00D53710">
        <w:t>, OIB 94432282335</w:t>
      </w:r>
      <w:r w:rsidR="006B1352">
        <w:t xml:space="preserve">, MB </w:t>
      </w:r>
      <w:r>
        <w:t>02400774</w:t>
      </w:r>
    </w:p>
    <w:p w:rsidR="00CD4F43" w:rsidRPr="00883F87" w:rsidRDefault="006B1352" w:rsidP="00883F87">
      <w:pPr>
        <w:numPr>
          <w:ilvl w:val="0"/>
          <w:numId w:val="2"/>
        </w:numPr>
        <w:jc w:val="both"/>
      </w:pPr>
      <w:r>
        <w:t xml:space="preserve">Glava </w:t>
      </w:r>
      <w:r w:rsidR="00A274FA">
        <w:t>025</w:t>
      </w:r>
      <w:r w:rsidR="00D53710">
        <w:t xml:space="preserve">55 </w:t>
      </w:r>
      <w:r w:rsidR="00CD4F43" w:rsidRPr="00883F87">
        <w:t xml:space="preserve">Odbor za standarde </w:t>
      </w:r>
      <w:r w:rsidR="007F3350" w:rsidRPr="00883F87">
        <w:t>financijskog izvještavanja</w:t>
      </w:r>
      <w:r w:rsidR="007942FA">
        <w:t>,</w:t>
      </w:r>
      <w:r w:rsidR="007F3350" w:rsidRPr="00883F87">
        <w:t xml:space="preserve"> RKP 49286</w:t>
      </w:r>
      <w:r w:rsidR="00D53710">
        <w:t>, OIB 58499994900</w:t>
      </w:r>
      <w:r>
        <w:t>, MB 02052644</w:t>
      </w:r>
    </w:p>
    <w:p w:rsidR="00CD4F43" w:rsidRPr="00883F87" w:rsidRDefault="00CD4F43" w:rsidP="00883F87">
      <w:pPr>
        <w:jc w:val="both"/>
      </w:pPr>
      <w:r w:rsidRPr="00883F87">
        <w:t xml:space="preserve"> </w:t>
      </w:r>
    </w:p>
    <w:p w:rsidR="00CD4F43" w:rsidRPr="00883F87" w:rsidRDefault="00CD4F43" w:rsidP="00883F87">
      <w:pPr>
        <w:jc w:val="both"/>
      </w:pPr>
    </w:p>
    <w:p w:rsidR="00CD4F43" w:rsidRPr="00883F87" w:rsidRDefault="00CD4F43" w:rsidP="00B50580">
      <w:pPr>
        <w:jc w:val="center"/>
        <w:rPr>
          <w:b/>
          <w:u w:val="single"/>
        </w:rPr>
      </w:pPr>
      <w:r w:rsidRPr="00883F87">
        <w:rPr>
          <w:b/>
          <w:u w:val="single"/>
        </w:rPr>
        <w:t>BILJEŠKE UZ BILANCU</w:t>
      </w:r>
    </w:p>
    <w:p w:rsidR="00CD4F43" w:rsidRDefault="00CD4F43" w:rsidP="00883F87">
      <w:pPr>
        <w:jc w:val="both"/>
      </w:pPr>
    </w:p>
    <w:p w:rsidR="00B50580" w:rsidRPr="00883F87" w:rsidRDefault="00B50580" w:rsidP="00883F87">
      <w:pPr>
        <w:jc w:val="both"/>
      </w:pPr>
    </w:p>
    <w:p w:rsidR="00141E21" w:rsidRDefault="00D7682A" w:rsidP="00883F87">
      <w:pPr>
        <w:numPr>
          <w:ilvl w:val="0"/>
          <w:numId w:val="12"/>
        </w:numPr>
        <w:ind w:left="0" w:firstLine="0"/>
        <w:jc w:val="both"/>
      </w:pPr>
      <w:r w:rsidRPr="00883F87">
        <w:t xml:space="preserve">AOP </w:t>
      </w:r>
      <w:r w:rsidR="004613A7">
        <w:t>027</w:t>
      </w:r>
      <w:r w:rsidR="00141E21">
        <w:t xml:space="preserve"> Prijevozna sredstva u pomorskom i riječnom prometu su na dan 1. siječnja 202</w:t>
      </w:r>
      <w:r w:rsidR="00D00355">
        <w:t>0. godine iznosila 12.028.601</w:t>
      </w:r>
      <w:r w:rsidR="00141E21">
        <w:t xml:space="preserve"> k</w:t>
      </w:r>
      <w:r w:rsidR="00372E2A">
        <w:t>u</w:t>
      </w:r>
      <w:r w:rsidR="00141E21">
        <w:t>n</w:t>
      </w:r>
      <w:r w:rsidR="00372E2A">
        <w:t>a</w:t>
      </w:r>
      <w:r w:rsidR="007E7317">
        <w:t>,</w:t>
      </w:r>
      <w:r w:rsidR="00141E21">
        <w:t xml:space="preserve"> dok su ista na dan 31. prosinca 20</w:t>
      </w:r>
      <w:r w:rsidR="00D00355">
        <w:t>20. godine iznosila 6.012.003</w:t>
      </w:r>
      <w:r w:rsidR="00141E21">
        <w:t xml:space="preserve"> k</w:t>
      </w:r>
      <w:r w:rsidR="00372E2A">
        <w:t>u</w:t>
      </w:r>
      <w:r w:rsidR="00141E21">
        <w:t>n</w:t>
      </w:r>
      <w:r w:rsidR="00372E2A">
        <w:t>a</w:t>
      </w:r>
      <w:r w:rsidR="00141E21">
        <w:t xml:space="preserve">. Smanjenje se odnosi na rashod dvaju morskih brodova Carinske uprave koji su nakon </w:t>
      </w:r>
      <w:r w:rsidR="007E7317">
        <w:t>toga</w:t>
      </w:r>
      <w:r w:rsidR="00141E21">
        <w:t xml:space="preserve"> donirani Hrvatskoj gorskoj službi za spašavanje.</w:t>
      </w:r>
    </w:p>
    <w:p w:rsidR="004613A7" w:rsidRDefault="004613A7" w:rsidP="004613A7">
      <w:pPr>
        <w:jc w:val="both"/>
      </w:pPr>
    </w:p>
    <w:p w:rsidR="00D7682A" w:rsidRDefault="00141E21" w:rsidP="00883F87">
      <w:pPr>
        <w:numPr>
          <w:ilvl w:val="0"/>
          <w:numId w:val="12"/>
        </w:numPr>
        <w:ind w:left="0" w:firstLine="0"/>
        <w:jc w:val="both"/>
      </w:pPr>
      <w:r>
        <w:t xml:space="preserve">AOP </w:t>
      </w:r>
      <w:r w:rsidR="00A91226">
        <w:t>0</w:t>
      </w:r>
      <w:r w:rsidR="004613A7">
        <w:t>38</w:t>
      </w:r>
      <w:r>
        <w:t xml:space="preserve"> Osnovno stado na dan 31. prosinca 2</w:t>
      </w:r>
      <w:r w:rsidR="001F4057">
        <w:t xml:space="preserve">020. godine zabilježilo je rast </w:t>
      </w:r>
      <w:r>
        <w:t xml:space="preserve">zbog nabave dva službena psa u Carinskoj upravi. </w:t>
      </w:r>
    </w:p>
    <w:p w:rsidR="00CD6CA7" w:rsidRDefault="00CD6CA7" w:rsidP="00CD6CA7">
      <w:pPr>
        <w:jc w:val="both"/>
      </w:pPr>
    </w:p>
    <w:p w:rsidR="00FD41D6" w:rsidRPr="00CD6CA7" w:rsidRDefault="004613A7" w:rsidP="00772903">
      <w:pPr>
        <w:numPr>
          <w:ilvl w:val="0"/>
          <w:numId w:val="12"/>
        </w:numPr>
        <w:ind w:left="0" w:firstLine="0"/>
        <w:jc w:val="both"/>
      </w:pPr>
      <w:r>
        <w:t>AOP 052 Građevinski objekti u pripremi i</w:t>
      </w:r>
      <w:r w:rsidR="007E7317">
        <w:t xml:space="preserve"> AOP 053</w:t>
      </w:r>
      <w:r>
        <w:t xml:space="preserve"> Postrojenja i oprema u pripremi – iskazane vrijednosti za navedene pozicije su znatno smanjene u odnosu na prethodnu godinu zbog okončanja radova i primopredaje izgrađenih  građevinskih objekata i ugrađene opreme na </w:t>
      </w:r>
      <w:r w:rsidRPr="00CD6CA7">
        <w:t>graničnim prijelazima</w:t>
      </w:r>
      <w:r w:rsidR="00DA4C69" w:rsidRPr="00CD6CA7">
        <w:t xml:space="preserve"> Republik</w:t>
      </w:r>
      <w:r w:rsidR="00CD6CA7" w:rsidRPr="00CD6CA7">
        <w:t>e Hrvatske</w:t>
      </w:r>
      <w:r w:rsidRPr="00CD6CA7">
        <w:t>, što je rezultiralo povećanjem AOP 007 Proizvedena dugotrajna imovina.</w:t>
      </w:r>
    </w:p>
    <w:p w:rsidR="004613A7" w:rsidRPr="00CD6CA7" w:rsidRDefault="004613A7" w:rsidP="004613A7">
      <w:pPr>
        <w:jc w:val="both"/>
      </w:pPr>
    </w:p>
    <w:p w:rsidR="004B34C3" w:rsidRPr="00CD6CA7" w:rsidRDefault="00CD6CA7" w:rsidP="00713488">
      <w:pPr>
        <w:numPr>
          <w:ilvl w:val="0"/>
          <w:numId w:val="12"/>
        </w:numPr>
        <w:ind w:left="0" w:firstLine="0"/>
        <w:jc w:val="both"/>
        <w:rPr>
          <w:color w:val="FF0000"/>
        </w:rPr>
      </w:pPr>
      <w:r w:rsidRPr="00CD6CA7">
        <w:t xml:space="preserve">AOP 068 Novac na računu kod inozemnih poslovnih banaka – predstavlja novčana sredstva na deviznom računu </w:t>
      </w:r>
      <w:r w:rsidR="007E7317">
        <w:t xml:space="preserve">Ministarstva financija namijenjenom za pokriće alikvotnog dijela </w:t>
      </w:r>
      <w:r w:rsidR="007E7317">
        <w:lastRenderedPageBreak/>
        <w:t xml:space="preserve">troškova </w:t>
      </w:r>
      <w:r w:rsidRPr="00CD6CA7">
        <w:t xml:space="preserve">Stalnog predstavništva </w:t>
      </w:r>
      <w:r w:rsidR="007E7317">
        <w:t xml:space="preserve">Republike Hrvatske </w:t>
      </w:r>
      <w:r w:rsidRPr="00CD6CA7">
        <w:t xml:space="preserve">u Bruxellesu, a umanjena su radi manjih troškova plaća koje će biti isplaćene u siječnju 2021.godine zbog </w:t>
      </w:r>
      <w:r>
        <w:t>povlačenja</w:t>
      </w:r>
      <w:r w:rsidR="00561934">
        <w:t xml:space="preserve"> dijela upućenih službenika nakon</w:t>
      </w:r>
      <w:r>
        <w:t xml:space="preserve"> okončanja predsjedanja Republike Hrvatske Vijećem Europske unije.</w:t>
      </w:r>
    </w:p>
    <w:p w:rsidR="00FD41D6" w:rsidRPr="00A91226" w:rsidRDefault="00FD41D6" w:rsidP="00883F87">
      <w:pPr>
        <w:pStyle w:val="Odlomakpopisa"/>
        <w:jc w:val="both"/>
        <w:rPr>
          <w:color w:val="FF0000"/>
        </w:rPr>
      </w:pPr>
    </w:p>
    <w:p w:rsidR="004A3779" w:rsidRDefault="004B34C3" w:rsidP="00370BC3">
      <w:pPr>
        <w:numPr>
          <w:ilvl w:val="0"/>
          <w:numId w:val="12"/>
        </w:numPr>
        <w:ind w:left="0" w:firstLine="0"/>
        <w:jc w:val="both"/>
      </w:pPr>
      <w:r w:rsidRPr="004A3779">
        <w:t>AOP 07</w:t>
      </w:r>
      <w:r w:rsidR="00CD6CA7" w:rsidRPr="004A3779">
        <w:t>9 Potraživanja za viš</w:t>
      </w:r>
      <w:r w:rsidR="004A3779" w:rsidRPr="004A3779">
        <w:t>e plaćene poreze i doprinose – na dan 1. siječ</w:t>
      </w:r>
      <w:r w:rsidR="00372E2A">
        <w:t>nja 2020. iznosila su 500.469</w:t>
      </w:r>
      <w:r w:rsidR="004A3779" w:rsidRPr="004A3779">
        <w:t xml:space="preserve"> k</w:t>
      </w:r>
      <w:r w:rsidR="00372E2A">
        <w:t>u</w:t>
      </w:r>
      <w:r w:rsidR="004A3779" w:rsidRPr="004A3779">
        <w:t>n</w:t>
      </w:r>
      <w:r w:rsidR="00372E2A">
        <w:t>a</w:t>
      </w:r>
      <w:r w:rsidR="004A3779" w:rsidRPr="004A3779">
        <w:t xml:space="preserve">, a 31. </w:t>
      </w:r>
      <w:r w:rsidR="00372E2A">
        <w:t>prosinca 2020. iznose 117.378</w:t>
      </w:r>
      <w:r w:rsidR="004A3779" w:rsidRPr="004A3779">
        <w:t xml:space="preserve"> k</w:t>
      </w:r>
      <w:r w:rsidR="00372E2A">
        <w:t>u</w:t>
      </w:r>
      <w:r w:rsidR="004A3779" w:rsidRPr="004A3779">
        <w:t>n</w:t>
      </w:r>
      <w:r w:rsidR="00372E2A">
        <w:t>a</w:t>
      </w:r>
      <w:r w:rsidR="004A3779" w:rsidRPr="004A3779">
        <w:t xml:space="preserve"> te se odnose na više plaćeni porez i prirez na dohodak po godišnjem obračunu za 2020.godinu.</w:t>
      </w:r>
    </w:p>
    <w:p w:rsidR="00981108" w:rsidRPr="004A3779" w:rsidRDefault="00981108" w:rsidP="00981108">
      <w:pPr>
        <w:jc w:val="both"/>
      </w:pPr>
    </w:p>
    <w:p w:rsidR="004A3779" w:rsidRPr="00CA3CAE" w:rsidRDefault="004A3779" w:rsidP="007577F7">
      <w:pPr>
        <w:numPr>
          <w:ilvl w:val="0"/>
          <w:numId w:val="12"/>
        </w:numPr>
        <w:ind w:left="0" w:firstLine="0"/>
        <w:jc w:val="both"/>
        <w:rPr>
          <w:color w:val="FF0000"/>
        </w:rPr>
      </w:pPr>
      <w:r>
        <w:t xml:space="preserve">AOP 081 Ostala potraživanja – navedena potraživanja su uvećana zbog toga što u 2020. godini nije došlo do zatvaranja potraživanja prema HZZO-u, odnosno refundacije naknade plaća za bolovanja iznad 42 dana i bolovanja za ozljede </w:t>
      </w:r>
      <w:r w:rsidR="00CA3CAE">
        <w:t>na radu i profesionalne bolesti.</w:t>
      </w:r>
    </w:p>
    <w:p w:rsidR="00CA3CAE" w:rsidRPr="00CA3CAE" w:rsidRDefault="00CA3CAE" w:rsidP="00CA3CAE">
      <w:pPr>
        <w:jc w:val="both"/>
        <w:rPr>
          <w:color w:val="FF0000"/>
        </w:rPr>
      </w:pPr>
    </w:p>
    <w:p w:rsidR="002A1E54" w:rsidRPr="00561934" w:rsidRDefault="00785E7C" w:rsidP="00883F87">
      <w:pPr>
        <w:numPr>
          <w:ilvl w:val="0"/>
          <w:numId w:val="12"/>
        </w:numPr>
        <w:ind w:left="0" w:firstLine="0"/>
        <w:jc w:val="both"/>
      </w:pPr>
      <w:r>
        <w:t>AOP 143</w:t>
      </w:r>
      <w:r w:rsidR="002A1E54" w:rsidRPr="00561934">
        <w:t xml:space="preserve"> Potraživanja za doprinose su smanjena obzirom </w:t>
      </w:r>
      <w:r w:rsidR="00561934" w:rsidRPr="00561934">
        <w:t>da se obveze za doprinose po mirovinskom osiguranju više ne vode u evidencijama Ministarstva financija, P</w:t>
      </w:r>
      <w:r w:rsidR="00561934">
        <w:t>orezne uprave te su isknjižena 1. siječnja</w:t>
      </w:r>
      <w:r w:rsidR="00561934" w:rsidRPr="00561934">
        <w:t xml:space="preserve"> 2020. godine, </w:t>
      </w:r>
      <w:r w:rsidR="00561934">
        <w:t>a</w:t>
      </w:r>
      <w:r w:rsidR="00561934" w:rsidRPr="00561934">
        <w:t xml:space="preserve"> dio potraživanja </w:t>
      </w:r>
      <w:r w:rsidR="00561934">
        <w:t xml:space="preserve">je </w:t>
      </w:r>
      <w:r w:rsidR="00561934" w:rsidRPr="00561934">
        <w:t>otpisan radi nastupa zastare.</w:t>
      </w:r>
    </w:p>
    <w:p w:rsidR="00067B45" w:rsidRPr="00A91226" w:rsidRDefault="00067B45" w:rsidP="00883F87">
      <w:pPr>
        <w:jc w:val="both"/>
        <w:rPr>
          <w:color w:val="FF0000"/>
        </w:rPr>
      </w:pPr>
    </w:p>
    <w:p w:rsidR="003E20B6" w:rsidRDefault="003E20B6" w:rsidP="00883F87">
      <w:pPr>
        <w:numPr>
          <w:ilvl w:val="0"/>
          <w:numId w:val="12"/>
        </w:numPr>
        <w:ind w:left="0" w:firstLine="0"/>
        <w:jc w:val="both"/>
      </w:pPr>
      <w:r w:rsidRPr="00A2709A">
        <w:t>AOP 14</w:t>
      </w:r>
      <w:r w:rsidR="00A2709A" w:rsidRPr="00A2709A">
        <w:t>6</w:t>
      </w:r>
      <w:r w:rsidR="00A2709A">
        <w:t xml:space="preserve"> </w:t>
      </w:r>
      <w:r w:rsidRPr="00A2709A">
        <w:t>Potraživanja za pomoći od međunarodnih organiza</w:t>
      </w:r>
      <w:r w:rsidR="00A2709A" w:rsidRPr="00A2709A">
        <w:t>cija te institucija i tijela</w:t>
      </w:r>
      <w:r w:rsidR="007E7317">
        <w:t xml:space="preserve"> EU zabilježila su pad što je </w:t>
      </w:r>
      <w:r w:rsidR="00785E7C" w:rsidRPr="00A2709A">
        <w:t>vezano</w:t>
      </w:r>
      <w:r w:rsidRPr="00A2709A">
        <w:t xml:space="preserve"> </w:t>
      </w:r>
      <w:r w:rsidR="00785E7C" w:rsidRPr="00A2709A">
        <w:t xml:space="preserve">uz </w:t>
      </w:r>
      <w:r w:rsidR="00A2709A" w:rsidRPr="00A2709A">
        <w:t>dovršetak</w:t>
      </w:r>
      <w:r w:rsidR="00785E7C" w:rsidRPr="00A2709A">
        <w:t xml:space="preserve"> projekt</w:t>
      </w:r>
      <w:r w:rsidR="00A2709A" w:rsidRPr="00A2709A">
        <w:t>a</w:t>
      </w:r>
      <w:r w:rsidR="00785E7C" w:rsidRPr="00A2709A">
        <w:t xml:space="preserve"> „Homologni sastanak revizijskih tije</w:t>
      </w:r>
      <w:r w:rsidR="00F842B1">
        <w:t>la zemalja članica EU koji je</w:t>
      </w:r>
      <w:r w:rsidR="00785E7C" w:rsidRPr="00A2709A">
        <w:t xml:space="preserve"> financiran od Europske komisije</w:t>
      </w:r>
      <w:r w:rsidR="00A2709A" w:rsidRPr="00A2709A">
        <w:t xml:space="preserve">, a provela ga je </w:t>
      </w:r>
      <w:r w:rsidRPr="00A2709A">
        <w:t>Agencij</w:t>
      </w:r>
      <w:r w:rsidR="00A2709A" w:rsidRPr="00A2709A">
        <w:t>a</w:t>
      </w:r>
      <w:r w:rsidRPr="00A2709A">
        <w:t xml:space="preserve"> za revizi</w:t>
      </w:r>
      <w:r w:rsidR="00785E7C" w:rsidRPr="00A2709A">
        <w:t>ju sustava provedbe programa EU.</w:t>
      </w:r>
    </w:p>
    <w:p w:rsidR="00067B45" w:rsidRPr="00A2709A" w:rsidRDefault="00067B45" w:rsidP="005F709C">
      <w:pPr>
        <w:jc w:val="both"/>
      </w:pPr>
    </w:p>
    <w:p w:rsidR="00A2709A" w:rsidRDefault="00067B45" w:rsidP="00A2709A">
      <w:pPr>
        <w:numPr>
          <w:ilvl w:val="0"/>
          <w:numId w:val="12"/>
        </w:numPr>
        <w:ind w:left="0" w:firstLine="0"/>
        <w:jc w:val="both"/>
      </w:pPr>
      <w:r w:rsidRPr="00C76D30">
        <w:t>AOP 15</w:t>
      </w:r>
      <w:r w:rsidR="00A2709A" w:rsidRPr="00C76D30">
        <w:t>3</w:t>
      </w:r>
      <w:r w:rsidRPr="00C76D30">
        <w:t xml:space="preserve"> Potraživanja za upravne i administrativne pristojbe, pristojbe po posebnim propisima i naknade</w:t>
      </w:r>
      <w:r w:rsidR="00A6266B" w:rsidRPr="00C76D30">
        <w:t xml:space="preserve"> odnose</w:t>
      </w:r>
      <w:r w:rsidR="00C76D30" w:rsidRPr="00C76D30">
        <w:t xml:space="preserve"> se na</w:t>
      </w:r>
      <w:r w:rsidR="00A6266B" w:rsidRPr="00C76D30">
        <w:t xml:space="preserve"> potraživanja Carinske uprave </w:t>
      </w:r>
      <w:r w:rsidR="00C76D30" w:rsidRPr="00C76D30">
        <w:t xml:space="preserve">koja </w:t>
      </w:r>
      <w:r w:rsidR="00A2709A" w:rsidRPr="00C76D30">
        <w:t>su na dan 1.</w:t>
      </w:r>
      <w:r w:rsidR="00F842B1">
        <w:t xml:space="preserve"> </w:t>
      </w:r>
      <w:r w:rsidR="00A2709A" w:rsidRPr="00C76D30">
        <w:t>siječnja 20</w:t>
      </w:r>
      <w:r w:rsidR="00372E2A">
        <w:t>20. godine iznosila 7.416.584</w:t>
      </w:r>
      <w:r w:rsidR="00A2709A" w:rsidRPr="00C76D30">
        <w:t xml:space="preserve"> k</w:t>
      </w:r>
      <w:r w:rsidR="00372E2A">
        <w:t>u</w:t>
      </w:r>
      <w:r w:rsidR="00A2709A" w:rsidRPr="00C76D30">
        <w:t>n</w:t>
      </w:r>
      <w:r w:rsidR="00372E2A">
        <w:t>a</w:t>
      </w:r>
      <w:r w:rsidR="00A2709A" w:rsidRPr="00C76D30">
        <w:t xml:space="preserve"> dok su ista na dan 31. </w:t>
      </w:r>
      <w:r w:rsidR="00372E2A">
        <w:t>prosinca 2020. iznosila 7.625</w:t>
      </w:r>
      <w:r w:rsidR="00A2709A" w:rsidRPr="00C76D30">
        <w:t xml:space="preserve"> k</w:t>
      </w:r>
      <w:r w:rsidR="00372E2A">
        <w:t>u</w:t>
      </w:r>
      <w:r w:rsidR="00A2709A" w:rsidRPr="00C76D30">
        <w:t>n</w:t>
      </w:r>
      <w:r w:rsidR="00372E2A">
        <w:t>a</w:t>
      </w:r>
      <w:r w:rsidR="00A2709A" w:rsidRPr="00C76D30">
        <w:t>. Navedena razlika odnosi se na promjenu u knjiženjima i razduženje računa 16526 djelomično.</w:t>
      </w:r>
    </w:p>
    <w:p w:rsidR="00A2709A" w:rsidRPr="00C76D30" w:rsidRDefault="00A2709A" w:rsidP="00A6266B">
      <w:pPr>
        <w:jc w:val="both"/>
      </w:pPr>
    </w:p>
    <w:p w:rsidR="00067B45" w:rsidRPr="00C76D30" w:rsidRDefault="00067B45" w:rsidP="00883F87">
      <w:pPr>
        <w:numPr>
          <w:ilvl w:val="0"/>
          <w:numId w:val="12"/>
        </w:numPr>
        <w:ind w:left="0" w:firstLine="0"/>
        <w:jc w:val="both"/>
      </w:pPr>
      <w:r w:rsidRPr="00C76D30">
        <w:t xml:space="preserve"> AOP 15</w:t>
      </w:r>
      <w:r w:rsidR="00C76D30">
        <w:t>7</w:t>
      </w:r>
      <w:r w:rsidRPr="00C76D30">
        <w:t xml:space="preserve"> Ispravak vrijedn</w:t>
      </w:r>
      <w:r w:rsidR="001F4057">
        <w:t>osti potraživanja</w:t>
      </w:r>
      <w:r w:rsidR="00350B17" w:rsidRPr="00C76D30">
        <w:t xml:space="preserve"> proveden</w:t>
      </w:r>
      <w:r w:rsidR="001F4057">
        <w:t xml:space="preserve"> je</w:t>
      </w:r>
      <w:r w:rsidRPr="00C76D30">
        <w:t xml:space="preserve"> pretežito za sporno naplative poreze i doprin</w:t>
      </w:r>
      <w:r w:rsidR="00350B17" w:rsidRPr="00C76D30">
        <w:t>ose, kao i ostala potraživanja Carinske</w:t>
      </w:r>
      <w:r w:rsidRPr="00C76D30">
        <w:t xml:space="preserve"> i Porezn</w:t>
      </w:r>
      <w:r w:rsidR="00350B17" w:rsidRPr="00C76D30">
        <w:t>e uprave,</w:t>
      </w:r>
      <w:r w:rsidRPr="00C76D30">
        <w:t xml:space="preserve"> a sukladno Pravilniku o izmjenama i dopunama Pravilnika o proračunskom računovodstvu i računskom planu</w:t>
      </w:r>
      <w:r w:rsidR="00350B17" w:rsidRPr="00C76D30">
        <w:t xml:space="preserve"> (Narodne novine 3/18)</w:t>
      </w:r>
      <w:r w:rsidR="00F842B1">
        <w:t xml:space="preserve"> i ostalim propisanim metodologijama</w:t>
      </w:r>
      <w:r w:rsidR="00350B17" w:rsidRPr="00C76D30">
        <w:t>.</w:t>
      </w:r>
    </w:p>
    <w:p w:rsidR="00350B17" w:rsidRPr="00A91226" w:rsidRDefault="00350B17" w:rsidP="00883F87">
      <w:pPr>
        <w:pStyle w:val="Odlomakpopisa"/>
        <w:jc w:val="both"/>
        <w:rPr>
          <w:color w:val="FF0000"/>
        </w:rPr>
      </w:pPr>
    </w:p>
    <w:p w:rsidR="00350B17" w:rsidRPr="00D231A7" w:rsidRDefault="005E5F1A" w:rsidP="006E0F3B">
      <w:pPr>
        <w:numPr>
          <w:ilvl w:val="0"/>
          <w:numId w:val="12"/>
        </w:numPr>
        <w:ind w:left="0" w:firstLine="0"/>
        <w:jc w:val="both"/>
      </w:pPr>
      <w:r w:rsidRPr="00D231A7">
        <w:t>AOP 1</w:t>
      </w:r>
      <w:r w:rsidR="00D231A7" w:rsidRPr="00D231A7">
        <w:t>68 O</w:t>
      </w:r>
      <w:r w:rsidRPr="00D231A7">
        <w:t xml:space="preserve">bveze </w:t>
      </w:r>
      <w:r w:rsidR="00D231A7" w:rsidRPr="00D231A7">
        <w:t xml:space="preserve">– </w:t>
      </w:r>
      <w:r w:rsidR="001F4057">
        <w:t>u</w:t>
      </w:r>
      <w:r w:rsidR="00D231A7" w:rsidRPr="00D231A7">
        <w:t xml:space="preserve"> strukturi iskazanih obveza najveći udio imaju Carinska i Porezna uprava, a navedeni iznos pretežito predstavljaju </w:t>
      </w:r>
      <w:r w:rsidRPr="00D231A7">
        <w:t xml:space="preserve">obveze prema poreznim obveznicima za više uplaćena sredstva. </w:t>
      </w:r>
      <w:r w:rsidR="00D231A7" w:rsidRPr="00D231A7">
        <w:t>U Poreznoj upravi dio tih sredstava porezni obveznici koriste kao predujmove, porezni kredit, a manji dio se odnosi na uplate na krive šifre prihoda.</w:t>
      </w:r>
    </w:p>
    <w:p w:rsidR="00D231A7" w:rsidRPr="00D231A7" w:rsidRDefault="00D231A7" w:rsidP="00D231A7">
      <w:pPr>
        <w:jc w:val="both"/>
        <w:rPr>
          <w:color w:val="FF0000"/>
        </w:rPr>
      </w:pPr>
    </w:p>
    <w:p w:rsidR="001862A1" w:rsidRPr="00052C7E" w:rsidRDefault="001862A1" w:rsidP="00052C7E">
      <w:pPr>
        <w:numPr>
          <w:ilvl w:val="0"/>
          <w:numId w:val="12"/>
        </w:numPr>
        <w:ind w:left="0" w:firstLine="0"/>
        <w:jc w:val="both"/>
      </w:pPr>
      <w:r w:rsidRPr="00052C7E">
        <w:t xml:space="preserve">AOP </w:t>
      </w:r>
      <w:r w:rsidR="00052C7E" w:rsidRPr="00052C7E">
        <w:t>206 Obveze za zajmove od ostalih tuzemnih financijskih institucija izvan javnog sektora</w:t>
      </w:r>
      <w:r w:rsidRPr="00052C7E">
        <w:t xml:space="preserve"> predstavlja</w:t>
      </w:r>
      <w:r w:rsidR="00052C7E">
        <w:t>ju</w:t>
      </w:r>
      <w:r w:rsidRPr="00052C7E">
        <w:t xml:space="preserve"> obvezu za financijski leasing za nabavu dva službena automobila od kojih je jedan nabavila Carinska uprava, a jedan</w:t>
      </w:r>
      <w:r w:rsidR="007E7317">
        <w:t xml:space="preserve"> uži dio</w:t>
      </w:r>
      <w:r w:rsidRPr="00052C7E">
        <w:t xml:space="preserve"> Ministarstv</w:t>
      </w:r>
      <w:r w:rsidR="007E7317">
        <w:t>a financija</w:t>
      </w:r>
      <w:r w:rsidRPr="00052C7E">
        <w:t>.</w:t>
      </w:r>
    </w:p>
    <w:p w:rsidR="00350B17" w:rsidRPr="00A91226" w:rsidRDefault="00350B17" w:rsidP="00883F87">
      <w:pPr>
        <w:jc w:val="both"/>
        <w:rPr>
          <w:color w:val="FF0000"/>
        </w:rPr>
      </w:pPr>
    </w:p>
    <w:p w:rsidR="00AB4AA8" w:rsidRPr="00AF185D" w:rsidRDefault="00047FDB" w:rsidP="00BC3038">
      <w:pPr>
        <w:numPr>
          <w:ilvl w:val="0"/>
          <w:numId w:val="12"/>
        </w:numPr>
        <w:ind w:left="0" w:firstLine="0"/>
        <w:jc w:val="both"/>
      </w:pPr>
      <w:r w:rsidRPr="00AF185D">
        <w:t>AOP 23</w:t>
      </w:r>
      <w:r w:rsidR="00AF185D" w:rsidRPr="00AF185D">
        <w:t>8</w:t>
      </w:r>
      <w:r w:rsidRPr="00AF185D">
        <w:t xml:space="preserve"> Višak prihoda i AOP 2</w:t>
      </w:r>
      <w:r w:rsidR="00AF185D" w:rsidRPr="00AF185D">
        <w:t>42</w:t>
      </w:r>
      <w:r w:rsidR="00CD4F43" w:rsidRPr="00AF185D">
        <w:t xml:space="preserve"> Manjak prihoda</w:t>
      </w:r>
      <w:r w:rsidR="00400A52">
        <w:t xml:space="preserve"> – prebijanjem navedenih bilančnih pozicija na razini razdjela utvrđen je </w:t>
      </w:r>
      <w:r w:rsidR="00AF185D" w:rsidRPr="00AF185D">
        <w:t>manjak</w:t>
      </w:r>
      <w:r w:rsidR="005E5F1A" w:rsidRPr="00AF185D">
        <w:t xml:space="preserve">  prihoda u iznosu </w:t>
      </w:r>
      <w:r w:rsidR="00400A52">
        <w:t xml:space="preserve">od </w:t>
      </w:r>
      <w:r w:rsidR="00D00355">
        <w:t>27.439.193</w:t>
      </w:r>
      <w:r w:rsidR="00CC4D64" w:rsidRPr="00AF185D">
        <w:t xml:space="preserve"> kune,</w:t>
      </w:r>
      <w:r w:rsidR="00CD4F43" w:rsidRPr="00AF185D">
        <w:t xml:space="preserve"> a odnosi se na:</w:t>
      </w:r>
    </w:p>
    <w:p w:rsidR="00CD4F43" w:rsidRPr="00AF185D" w:rsidRDefault="00047FDB" w:rsidP="00400A52">
      <w:pPr>
        <w:pStyle w:val="Odlomakpopisa"/>
        <w:numPr>
          <w:ilvl w:val="0"/>
          <w:numId w:val="13"/>
        </w:numPr>
        <w:jc w:val="both"/>
      </w:pPr>
      <w:r w:rsidRPr="00AF185D">
        <w:t>Ostvareni manjak</w:t>
      </w:r>
      <w:r w:rsidR="00400A52">
        <w:t xml:space="preserve"> prihoda u užem dijelu</w:t>
      </w:r>
      <w:r w:rsidR="00CD4F43" w:rsidRPr="00AF185D">
        <w:t xml:space="preserve"> Ministarstvo fina</w:t>
      </w:r>
      <w:r w:rsidRPr="00AF185D">
        <w:t>nc</w:t>
      </w:r>
      <w:r w:rsidR="00F842B1">
        <w:t>ija</w:t>
      </w:r>
      <w:r w:rsidR="001862A1" w:rsidRPr="00AF185D">
        <w:t xml:space="preserve"> u iznosu </w:t>
      </w:r>
      <w:r w:rsidR="00D00355">
        <w:t>2.260.598</w:t>
      </w:r>
      <w:r w:rsidR="00CD4F43" w:rsidRPr="00AF185D">
        <w:t xml:space="preserve"> kuna</w:t>
      </w:r>
    </w:p>
    <w:p w:rsidR="00CD4F43" w:rsidRPr="00AF185D" w:rsidRDefault="00CD4F43" w:rsidP="00883F87">
      <w:pPr>
        <w:pStyle w:val="Odlomakpopisa"/>
        <w:numPr>
          <w:ilvl w:val="0"/>
          <w:numId w:val="13"/>
        </w:numPr>
        <w:jc w:val="both"/>
      </w:pPr>
      <w:r w:rsidRPr="00AF185D">
        <w:t xml:space="preserve">Ostvareni </w:t>
      </w:r>
      <w:r w:rsidR="00AF185D" w:rsidRPr="00AF185D">
        <w:t xml:space="preserve">manjak </w:t>
      </w:r>
      <w:r w:rsidRPr="00AF185D">
        <w:t xml:space="preserve">prihoda </w:t>
      </w:r>
      <w:r w:rsidR="00400A52">
        <w:t>u</w:t>
      </w:r>
      <w:r w:rsidRPr="00AF185D">
        <w:t xml:space="preserve"> Ca</w:t>
      </w:r>
      <w:r w:rsidR="005E5F1A" w:rsidRPr="00AF185D">
        <w:t>rinsk</w:t>
      </w:r>
      <w:r w:rsidR="00400A52">
        <w:t>oj</w:t>
      </w:r>
      <w:r w:rsidR="005E5F1A" w:rsidRPr="00AF185D">
        <w:t xml:space="preserve"> uprav</w:t>
      </w:r>
      <w:r w:rsidR="00400A52">
        <w:t>i</w:t>
      </w:r>
      <w:r w:rsidR="005E5F1A" w:rsidRPr="00AF185D">
        <w:t xml:space="preserve"> u iznosu </w:t>
      </w:r>
      <w:r w:rsidR="00AF185D" w:rsidRPr="00AF185D">
        <w:t>9.00</w:t>
      </w:r>
      <w:r w:rsidR="00D00355">
        <w:t>7.099</w:t>
      </w:r>
      <w:r w:rsidRPr="00AF185D">
        <w:t xml:space="preserve"> kuna</w:t>
      </w:r>
    </w:p>
    <w:p w:rsidR="00CD4F43" w:rsidRPr="00AF185D" w:rsidRDefault="00047FDB" w:rsidP="00883F87">
      <w:pPr>
        <w:pStyle w:val="Odlomakpopisa"/>
        <w:numPr>
          <w:ilvl w:val="0"/>
          <w:numId w:val="13"/>
        </w:numPr>
        <w:jc w:val="both"/>
      </w:pPr>
      <w:r w:rsidRPr="00AF185D">
        <w:t xml:space="preserve">Ostvareni </w:t>
      </w:r>
      <w:r w:rsidR="00AF185D" w:rsidRPr="00AF185D">
        <w:t xml:space="preserve">manjak </w:t>
      </w:r>
      <w:r w:rsidR="00CD4F43" w:rsidRPr="00AF185D">
        <w:t xml:space="preserve">prihoda </w:t>
      </w:r>
      <w:r w:rsidR="00400A52">
        <w:t>u</w:t>
      </w:r>
      <w:r w:rsidR="00CD4F43" w:rsidRPr="00AF185D">
        <w:t xml:space="preserve"> Po</w:t>
      </w:r>
      <w:r w:rsidR="00400A52">
        <w:t>reznoj</w:t>
      </w:r>
      <w:r w:rsidR="005E5F1A" w:rsidRPr="00AF185D">
        <w:t xml:space="preserve"> uprav</w:t>
      </w:r>
      <w:r w:rsidR="00400A52">
        <w:t>i</w:t>
      </w:r>
      <w:r w:rsidR="005E5F1A" w:rsidRPr="00AF185D">
        <w:t xml:space="preserve"> u iznosu </w:t>
      </w:r>
      <w:r w:rsidR="00D00355">
        <w:t>16.056.113</w:t>
      </w:r>
      <w:r w:rsidRPr="00AF185D">
        <w:t xml:space="preserve"> kun</w:t>
      </w:r>
      <w:r w:rsidR="00CC4D64" w:rsidRPr="00AF185D">
        <w:t>a</w:t>
      </w:r>
    </w:p>
    <w:p w:rsidR="00CD4F43" w:rsidRPr="00AF185D" w:rsidRDefault="00047FDB" w:rsidP="00883F87">
      <w:pPr>
        <w:pStyle w:val="Odlomakpopisa"/>
        <w:numPr>
          <w:ilvl w:val="0"/>
          <w:numId w:val="13"/>
        </w:numPr>
        <w:jc w:val="both"/>
      </w:pPr>
      <w:r w:rsidRPr="00AF185D">
        <w:t xml:space="preserve">Ostvareni manjak prihoda </w:t>
      </w:r>
      <w:r w:rsidR="00400A52">
        <w:t xml:space="preserve"> u Agenciji</w:t>
      </w:r>
      <w:r w:rsidR="00CD4F43" w:rsidRPr="00AF185D">
        <w:t xml:space="preserve"> za reviziju sustava provedbe progra</w:t>
      </w:r>
      <w:r w:rsidR="005E5F1A" w:rsidRPr="00AF185D">
        <w:t xml:space="preserve">ma </w:t>
      </w:r>
      <w:r w:rsidR="0036208D">
        <w:t>EU</w:t>
      </w:r>
      <w:r w:rsidR="005E5F1A" w:rsidRPr="00AF185D">
        <w:t xml:space="preserve"> u iznosu </w:t>
      </w:r>
      <w:r w:rsidR="00D00355">
        <w:t>115.383</w:t>
      </w:r>
      <w:r w:rsidRPr="00AF185D">
        <w:t xml:space="preserve"> kun</w:t>
      </w:r>
      <w:r w:rsidR="001F4057">
        <w:t>e</w:t>
      </w:r>
    </w:p>
    <w:p w:rsidR="00626B32" w:rsidRPr="00AF185D" w:rsidRDefault="00AF185D" w:rsidP="00883F87">
      <w:pPr>
        <w:pStyle w:val="Odlomakpopisa"/>
        <w:numPr>
          <w:ilvl w:val="0"/>
          <w:numId w:val="13"/>
        </w:numPr>
        <w:jc w:val="both"/>
      </w:pPr>
      <w:r w:rsidRPr="00AF185D">
        <w:t>Odbor</w:t>
      </w:r>
      <w:r w:rsidR="00047FDB" w:rsidRPr="00AF185D">
        <w:t xml:space="preserve"> za standarde financi</w:t>
      </w:r>
      <w:r w:rsidR="005E5F1A" w:rsidRPr="00AF185D">
        <w:t xml:space="preserve">jskog izvještavanja </w:t>
      </w:r>
      <w:r w:rsidRPr="00AF185D">
        <w:t>nije ostvario ni višak ni manjak</w:t>
      </w:r>
      <w:r w:rsidR="00CC4D64" w:rsidRPr="00AF185D">
        <w:t>.</w:t>
      </w:r>
    </w:p>
    <w:p w:rsidR="00CC4D64" w:rsidRPr="00A91226" w:rsidRDefault="00CC4D64" w:rsidP="00883F87">
      <w:pPr>
        <w:pStyle w:val="Odlomakpopisa"/>
        <w:jc w:val="both"/>
        <w:rPr>
          <w:color w:val="FF0000"/>
        </w:rPr>
      </w:pPr>
    </w:p>
    <w:p w:rsidR="00CC4D64" w:rsidRPr="005F709C" w:rsidRDefault="00CC4D64" w:rsidP="00883F87">
      <w:pPr>
        <w:pStyle w:val="Odlomakpopisa"/>
        <w:numPr>
          <w:ilvl w:val="0"/>
          <w:numId w:val="12"/>
        </w:numPr>
        <w:ind w:left="0" w:firstLine="0"/>
        <w:jc w:val="both"/>
      </w:pPr>
      <w:r w:rsidRPr="005F709C">
        <w:lastRenderedPageBreak/>
        <w:t>AOP 2</w:t>
      </w:r>
      <w:r w:rsidR="005F709C" w:rsidRPr="005F709C">
        <w:t>46</w:t>
      </w:r>
      <w:r w:rsidRPr="005F709C">
        <w:t xml:space="preserve"> Obračunati prihodi poslovanja</w:t>
      </w:r>
      <w:r w:rsidR="005F709C" w:rsidRPr="005F709C">
        <w:t xml:space="preserve"> – </w:t>
      </w:r>
      <w:r w:rsidR="005F709C">
        <w:t>p</w:t>
      </w:r>
      <w:r w:rsidR="005F709C" w:rsidRPr="005F709C">
        <w:t>ad navedene bilančne pozicije je u korelaciji s padom AOP 143 Potraživanja za doprinose iskazane u bilanci Porezne uprave</w:t>
      </w:r>
      <w:r w:rsidRPr="005F709C">
        <w:t>.</w:t>
      </w:r>
    </w:p>
    <w:p w:rsidR="005E5F1A" w:rsidRPr="00A91226" w:rsidRDefault="005E5F1A" w:rsidP="00883F87">
      <w:pPr>
        <w:ind w:left="1440"/>
        <w:jc w:val="both"/>
        <w:rPr>
          <w:color w:val="FF0000"/>
        </w:rPr>
      </w:pPr>
    </w:p>
    <w:p w:rsidR="00AB4AA8" w:rsidRPr="00372E2A" w:rsidRDefault="001F4057" w:rsidP="00AB4AA8">
      <w:pPr>
        <w:numPr>
          <w:ilvl w:val="0"/>
          <w:numId w:val="12"/>
        </w:numPr>
        <w:ind w:left="0" w:firstLine="0"/>
        <w:jc w:val="both"/>
      </w:pPr>
      <w:r w:rsidRPr="00372E2A">
        <w:t>AOP 250</w:t>
      </w:r>
      <w:r w:rsidR="00CD4F43" w:rsidRPr="00372E2A">
        <w:t xml:space="preserve"> i </w:t>
      </w:r>
      <w:r w:rsidRPr="00372E2A">
        <w:t xml:space="preserve">AOP </w:t>
      </w:r>
      <w:r w:rsidR="00CD4F43" w:rsidRPr="00372E2A">
        <w:t>2</w:t>
      </w:r>
      <w:r w:rsidRPr="00372E2A">
        <w:t>51</w:t>
      </w:r>
      <w:r w:rsidR="00C349E1" w:rsidRPr="00372E2A">
        <w:t xml:space="preserve"> </w:t>
      </w:r>
      <w:r w:rsidR="00CD4F43" w:rsidRPr="00372E2A">
        <w:t xml:space="preserve"> Izvanbilančni zapisi </w:t>
      </w:r>
      <w:r w:rsidRPr="00372E2A">
        <w:t xml:space="preserve">u </w:t>
      </w:r>
      <w:r w:rsidR="00D00355" w:rsidRPr="00372E2A">
        <w:t>ukupnom iznosu od 5.1</w:t>
      </w:r>
      <w:r w:rsidR="00A2047C">
        <w:t>39</w:t>
      </w:r>
      <w:r w:rsidR="00D00355" w:rsidRPr="00372E2A">
        <w:t>.</w:t>
      </w:r>
      <w:r w:rsidR="00A2047C">
        <w:t>78</w:t>
      </w:r>
      <w:r w:rsidR="00D00355" w:rsidRPr="00372E2A">
        <w:t>9.</w:t>
      </w:r>
      <w:r w:rsidR="00A2047C">
        <w:t>86</w:t>
      </w:r>
      <w:r w:rsidR="00F842B1">
        <w:t>0</w:t>
      </w:r>
      <w:r w:rsidRPr="00372E2A">
        <w:t xml:space="preserve"> kuna </w:t>
      </w:r>
      <w:r w:rsidR="00CD4F43" w:rsidRPr="00372E2A">
        <w:t>odnose se na:</w:t>
      </w:r>
    </w:p>
    <w:p w:rsidR="00CD4F43" w:rsidRPr="00372E2A" w:rsidRDefault="00CD4F43" w:rsidP="00883F87">
      <w:pPr>
        <w:numPr>
          <w:ilvl w:val="0"/>
          <w:numId w:val="14"/>
        </w:numPr>
        <w:jc w:val="both"/>
      </w:pPr>
      <w:r w:rsidRPr="00372E2A">
        <w:t>Mi</w:t>
      </w:r>
      <w:r w:rsidR="001F4057" w:rsidRPr="00372E2A">
        <w:t>nistarstvo financija (uži dio) u iznosu 13.</w:t>
      </w:r>
      <w:r w:rsidR="00A2047C">
        <w:t>374.017</w:t>
      </w:r>
      <w:r w:rsidR="00092249" w:rsidRPr="00372E2A">
        <w:t xml:space="preserve"> kuna</w:t>
      </w:r>
      <w:r w:rsidR="00D00355" w:rsidRPr="00372E2A">
        <w:t xml:space="preserve">, a </w:t>
      </w:r>
      <w:r w:rsidR="00092249" w:rsidRPr="00372E2A">
        <w:t>obuhvaća najvećim dijelom primljene bankovne garancije, zadužnice, gar</w:t>
      </w:r>
      <w:r w:rsidR="001F4057" w:rsidRPr="00372E2A">
        <w:t>ancije za dobro izvršenje posla,</w:t>
      </w:r>
      <w:r w:rsidR="00092249" w:rsidRPr="00372E2A">
        <w:t xml:space="preserve"> garancije za otklanjan</w:t>
      </w:r>
      <w:r w:rsidR="00CC4D64" w:rsidRPr="00372E2A">
        <w:t>je nedostataka u garantnom roku i tuđu</w:t>
      </w:r>
      <w:r w:rsidR="00D00355" w:rsidRPr="00372E2A">
        <w:t xml:space="preserve"> imovinu dobivenu na korištenje.</w:t>
      </w:r>
    </w:p>
    <w:p w:rsidR="001014C3" w:rsidRPr="00372E2A" w:rsidRDefault="00D00355" w:rsidP="00883F87">
      <w:pPr>
        <w:numPr>
          <w:ilvl w:val="0"/>
          <w:numId w:val="14"/>
        </w:numPr>
        <w:jc w:val="both"/>
      </w:pPr>
      <w:r w:rsidRPr="00372E2A">
        <w:t>Poreznu</w:t>
      </w:r>
      <w:r w:rsidR="00CD4F43" w:rsidRPr="00372E2A">
        <w:t xml:space="preserve"> uprav</w:t>
      </w:r>
      <w:r w:rsidRPr="00372E2A">
        <w:t>u u iznosu</w:t>
      </w:r>
      <w:r w:rsidR="005E5F1A" w:rsidRPr="00372E2A">
        <w:t xml:space="preserve"> </w:t>
      </w:r>
      <w:r w:rsidRPr="00372E2A">
        <w:t>228.</w:t>
      </w:r>
      <w:r w:rsidR="00372E2A" w:rsidRPr="00372E2A">
        <w:t>442</w:t>
      </w:r>
      <w:r w:rsidRPr="00372E2A">
        <w:t>.</w:t>
      </w:r>
      <w:r w:rsidR="00372E2A" w:rsidRPr="00372E2A">
        <w:t>815</w:t>
      </w:r>
      <w:r w:rsidR="00092249" w:rsidRPr="00372E2A">
        <w:t xml:space="preserve"> kuna</w:t>
      </w:r>
      <w:r w:rsidRPr="00372E2A">
        <w:t>,</w:t>
      </w:r>
      <w:r w:rsidR="00092249" w:rsidRPr="00372E2A">
        <w:t xml:space="preserve"> a odnosi se na instrumente osiguranja </w:t>
      </w:r>
      <w:r w:rsidR="001014C3" w:rsidRPr="00372E2A">
        <w:t>plaćanja</w:t>
      </w:r>
      <w:r w:rsidRPr="00372E2A">
        <w:t xml:space="preserve"> </w:t>
      </w:r>
      <w:r w:rsidR="001014C3" w:rsidRPr="00372E2A">
        <w:t>i sudske</w:t>
      </w:r>
      <w:r w:rsidR="00715FED" w:rsidRPr="00372E2A">
        <w:t xml:space="preserve"> sporov</w:t>
      </w:r>
      <w:r w:rsidR="001014C3" w:rsidRPr="00372E2A">
        <w:t>e</w:t>
      </w:r>
      <w:r w:rsidR="00715FED" w:rsidRPr="00372E2A">
        <w:t xml:space="preserve"> u tijek</w:t>
      </w:r>
      <w:r w:rsidR="00092249" w:rsidRPr="00372E2A">
        <w:t>u</w:t>
      </w:r>
      <w:r w:rsidRPr="00372E2A">
        <w:t>.</w:t>
      </w:r>
    </w:p>
    <w:p w:rsidR="00CD4F43" w:rsidRDefault="00CD4F43" w:rsidP="00883F87">
      <w:pPr>
        <w:numPr>
          <w:ilvl w:val="0"/>
          <w:numId w:val="14"/>
        </w:numPr>
        <w:jc w:val="both"/>
      </w:pPr>
      <w:r w:rsidRPr="00372E2A">
        <w:t>Carinsk</w:t>
      </w:r>
      <w:r w:rsidR="00D00355" w:rsidRPr="00372E2A">
        <w:t>u</w:t>
      </w:r>
      <w:r w:rsidRPr="00372E2A">
        <w:t xml:space="preserve"> uprav</w:t>
      </w:r>
      <w:r w:rsidR="00D00355" w:rsidRPr="00372E2A">
        <w:t>u u iznosu</w:t>
      </w:r>
      <w:r w:rsidRPr="00372E2A">
        <w:t xml:space="preserve"> </w:t>
      </w:r>
      <w:r w:rsidR="001014C3" w:rsidRPr="00372E2A">
        <w:t>4.</w:t>
      </w:r>
      <w:r w:rsidR="00D00355" w:rsidRPr="00372E2A">
        <w:t>897</w:t>
      </w:r>
      <w:r w:rsidR="001014C3" w:rsidRPr="00372E2A">
        <w:t>.</w:t>
      </w:r>
      <w:r w:rsidR="00D00355" w:rsidRPr="00372E2A">
        <w:t>944</w:t>
      </w:r>
      <w:r w:rsidR="001014C3" w:rsidRPr="00372E2A">
        <w:t>.</w:t>
      </w:r>
      <w:r w:rsidR="00D00355" w:rsidRPr="00372E2A">
        <w:t>010</w:t>
      </w:r>
      <w:r w:rsidR="001014C3" w:rsidRPr="00372E2A">
        <w:t xml:space="preserve"> </w:t>
      </w:r>
      <w:r w:rsidR="00092249" w:rsidRPr="00372E2A">
        <w:t>k</w:t>
      </w:r>
      <w:r w:rsidR="005E3554" w:rsidRPr="00372E2A">
        <w:t>una</w:t>
      </w:r>
      <w:r w:rsidR="001014C3" w:rsidRPr="00372E2A">
        <w:t>,</w:t>
      </w:r>
      <w:r w:rsidR="005E3554" w:rsidRPr="00372E2A">
        <w:t xml:space="preserve"> a odnosi</w:t>
      </w:r>
      <w:r w:rsidR="001014C3" w:rsidRPr="00372E2A">
        <w:t xml:space="preserve"> se </w:t>
      </w:r>
      <w:r w:rsidR="0002641A" w:rsidRPr="00372E2A">
        <w:t>na instrumen</w:t>
      </w:r>
      <w:r w:rsidR="001014C3" w:rsidRPr="00372E2A">
        <w:t>te</w:t>
      </w:r>
      <w:r w:rsidR="005E3554" w:rsidRPr="00372E2A">
        <w:t xml:space="preserve"> osiguranja </w:t>
      </w:r>
      <w:r w:rsidR="001014C3" w:rsidRPr="00372E2A">
        <w:t>plaćanja u carinskom poslovanju</w:t>
      </w:r>
      <w:r w:rsidR="00372E2A" w:rsidRPr="00372E2A">
        <w:t>, dobivena jamstva u poslovanju javne nabave, prisilnu naplatu carina, poreza i trošarina za EU članice</w:t>
      </w:r>
      <w:r w:rsidR="001014C3" w:rsidRPr="00372E2A">
        <w:t>, na službena vozila nabavljena putem operativnog leasinga, potencijalne obveze po sudskim sporovima i tuđu imovinu dobivenu na korištenje.</w:t>
      </w:r>
    </w:p>
    <w:p w:rsidR="00A2047C" w:rsidRPr="00372E2A" w:rsidRDefault="00A2047C" w:rsidP="00883F87">
      <w:pPr>
        <w:numPr>
          <w:ilvl w:val="0"/>
          <w:numId w:val="14"/>
        </w:numPr>
        <w:jc w:val="both"/>
      </w:pPr>
      <w:r>
        <w:t>Agenciju za reviziju sustava provedbe programa E</w:t>
      </w:r>
      <w:r w:rsidR="0036208D">
        <w:t>U</w:t>
      </w:r>
      <w:r>
        <w:t xml:space="preserve"> u iznosu 29.018 kuna, a odnosi se na primljenu bankovnu garanciju i sudski spor.</w:t>
      </w:r>
    </w:p>
    <w:p w:rsidR="001014C3" w:rsidRPr="00A91226" w:rsidRDefault="001014C3" w:rsidP="00883F87">
      <w:pPr>
        <w:jc w:val="both"/>
        <w:rPr>
          <w:color w:val="FF0000"/>
        </w:rPr>
      </w:pPr>
    </w:p>
    <w:p w:rsidR="00CD4F43" w:rsidRPr="00A91226" w:rsidRDefault="00CD4F43" w:rsidP="00883F87">
      <w:pPr>
        <w:jc w:val="both"/>
        <w:rPr>
          <w:color w:val="FF0000"/>
        </w:rPr>
      </w:pPr>
    </w:p>
    <w:p w:rsidR="00CD4F43" w:rsidRPr="00792BC4" w:rsidRDefault="00CD4F43" w:rsidP="00D878A9">
      <w:pPr>
        <w:jc w:val="center"/>
        <w:rPr>
          <w:b/>
          <w:u w:val="single"/>
        </w:rPr>
      </w:pPr>
      <w:r w:rsidRPr="00792BC4">
        <w:rPr>
          <w:b/>
          <w:u w:val="single"/>
        </w:rPr>
        <w:t>BILJEŠKE UZ IZVJEŠTAJ O PRIHODIMA I RASHODIMA, PRIMICIMA I IZDACIMA</w:t>
      </w:r>
    </w:p>
    <w:p w:rsidR="004864FA" w:rsidRPr="00792BC4" w:rsidRDefault="004864FA" w:rsidP="00883F87">
      <w:pPr>
        <w:jc w:val="both"/>
        <w:rPr>
          <w:b/>
        </w:rPr>
      </w:pPr>
    </w:p>
    <w:p w:rsidR="00B50580" w:rsidRPr="00A91226" w:rsidRDefault="00B50580" w:rsidP="00883F87">
      <w:pPr>
        <w:jc w:val="both"/>
        <w:rPr>
          <w:b/>
          <w:color w:val="FF0000"/>
        </w:rPr>
      </w:pPr>
    </w:p>
    <w:p w:rsidR="004864FA" w:rsidRPr="00A91226" w:rsidRDefault="004864FA" w:rsidP="00B50580">
      <w:pPr>
        <w:jc w:val="both"/>
        <w:rPr>
          <w:color w:val="FF0000"/>
        </w:rPr>
      </w:pPr>
    </w:p>
    <w:p w:rsidR="00C63708" w:rsidRPr="002C2025" w:rsidRDefault="00B50580" w:rsidP="00B50580">
      <w:pPr>
        <w:pStyle w:val="Odlomakpopisa"/>
        <w:ind w:left="0"/>
        <w:jc w:val="both"/>
      </w:pPr>
      <w:r w:rsidRPr="002C2025">
        <w:t xml:space="preserve">1. </w:t>
      </w:r>
      <w:r w:rsidRPr="002C2025">
        <w:tab/>
      </w:r>
      <w:r w:rsidR="00BF5111" w:rsidRPr="002C2025">
        <w:t>AOP 052</w:t>
      </w:r>
      <w:r w:rsidR="002C2025">
        <w:t xml:space="preserve"> </w:t>
      </w:r>
      <w:r w:rsidR="00EA5D02" w:rsidRPr="002C2025">
        <w:t xml:space="preserve"> </w:t>
      </w:r>
      <w:r w:rsidR="002C2025">
        <w:t>T</w:t>
      </w:r>
      <w:r w:rsidR="00EA5D02" w:rsidRPr="002C2025">
        <w:t>ekuće pomoći od institucija i tijela EU</w:t>
      </w:r>
      <w:r w:rsidR="00C63708" w:rsidRPr="002C2025">
        <w:t xml:space="preserve"> </w:t>
      </w:r>
      <w:r w:rsidR="0045314E" w:rsidRPr="002C2025">
        <w:t>povećane su pretežito zbog</w:t>
      </w:r>
      <w:r w:rsidR="00F43BE8" w:rsidRPr="002C2025">
        <w:t xml:space="preserve"> uspješne</w:t>
      </w:r>
      <w:r w:rsidR="0045314E" w:rsidRPr="002C2025">
        <w:t xml:space="preserve"> realizacije projek</w:t>
      </w:r>
      <w:r w:rsidR="00A2047C">
        <w:t>a</w:t>
      </w:r>
      <w:r w:rsidR="0045314E" w:rsidRPr="002C2025">
        <w:t xml:space="preserve">ta </w:t>
      </w:r>
      <w:r w:rsidR="00F43BE8" w:rsidRPr="002C2025">
        <w:t>u okviru različitih operativnih programa iz Europskih strukturnih fond</w:t>
      </w:r>
      <w:r w:rsidR="006E6C99">
        <w:t xml:space="preserve">ova, a </w:t>
      </w:r>
      <w:r w:rsidR="00F43BE8" w:rsidRPr="002C2025">
        <w:t xml:space="preserve">u strukturi </w:t>
      </w:r>
      <w:r w:rsidR="00F842B1">
        <w:t>navedenih</w:t>
      </w:r>
      <w:r w:rsidR="006E6C99">
        <w:t xml:space="preserve"> </w:t>
      </w:r>
      <w:r w:rsidR="00F43BE8" w:rsidRPr="002C2025">
        <w:t xml:space="preserve">prihoda </w:t>
      </w:r>
      <w:r w:rsidR="00F842B1">
        <w:t>najveći dio ostvarile su</w:t>
      </w:r>
      <w:r w:rsidR="00F43BE8" w:rsidRPr="002C2025">
        <w:t xml:space="preserve"> Carinska i Porezna uprava.</w:t>
      </w:r>
    </w:p>
    <w:p w:rsidR="00F43BE8" w:rsidRPr="002C2025" w:rsidRDefault="00F43BE8" w:rsidP="00B50580">
      <w:pPr>
        <w:pStyle w:val="Odlomakpopisa"/>
        <w:ind w:left="0"/>
        <w:jc w:val="both"/>
      </w:pPr>
    </w:p>
    <w:p w:rsidR="00CD4F43" w:rsidRPr="002C2025" w:rsidRDefault="00C63708" w:rsidP="00B50580">
      <w:pPr>
        <w:pStyle w:val="Odlomakpopisa"/>
        <w:numPr>
          <w:ilvl w:val="0"/>
          <w:numId w:val="17"/>
        </w:numPr>
        <w:ind w:left="0" w:firstLine="0"/>
        <w:jc w:val="both"/>
      </w:pPr>
      <w:r w:rsidRPr="002C2025">
        <w:t xml:space="preserve">AOP 053 </w:t>
      </w:r>
      <w:r w:rsidR="002C2025">
        <w:t>K</w:t>
      </w:r>
      <w:r w:rsidRPr="002C2025">
        <w:t xml:space="preserve">apitalne pomoći </w:t>
      </w:r>
      <w:r w:rsidR="006E6C99">
        <w:t>od institucija i tijela EU</w:t>
      </w:r>
      <w:r w:rsidRPr="002C2025">
        <w:t xml:space="preserve"> smanjile</w:t>
      </w:r>
      <w:r w:rsidR="006E6C99">
        <w:t xml:space="preserve"> su se</w:t>
      </w:r>
      <w:r w:rsidRPr="002C2025">
        <w:t xml:space="preserve"> zbog okončanja </w:t>
      </w:r>
      <w:r w:rsidR="00F43BE8" w:rsidRPr="002C2025">
        <w:t>pojedinih</w:t>
      </w:r>
      <w:r w:rsidR="002C2025" w:rsidRPr="002C2025">
        <w:t xml:space="preserve"> projekata u okviru kojih su izvršena kapitalna ulaganja financirana</w:t>
      </w:r>
      <w:r w:rsidR="00F43BE8" w:rsidRPr="002C2025">
        <w:t xml:space="preserve"> iz Europskih strukturnih fondova.</w:t>
      </w:r>
    </w:p>
    <w:p w:rsidR="00C63708" w:rsidRPr="00A91226" w:rsidRDefault="00C63708" w:rsidP="00B50580">
      <w:pPr>
        <w:jc w:val="both"/>
        <w:rPr>
          <w:color w:val="FF0000"/>
        </w:rPr>
      </w:pPr>
    </w:p>
    <w:p w:rsidR="00440355" w:rsidRPr="002C2025" w:rsidRDefault="00E861DD" w:rsidP="003569F8">
      <w:pPr>
        <w:numPr>
          <w:ilvl w:val="0"/>
          <w:numId w:val="17"/>
        </w:numPr>
        <w:ind w:left="0" w:firstLine="0"/>
        <w:jc w:val="both"/>
      </w:pPr>
      <w:r w:rsidRPr="002C2025">
        <w:t xml:space="preserve">AOP 058 </w:t>
      </w:r>
      <w:r w:rsidR="002C2025">
        <w:t xml:space="preserve"> T</w:t>
      </w:r>
      <w:r w:rsidR="008B42C8" w:rsidRPr="002C2025">
        <w:t xml:space="preserve">ekuće pomoći od izvanproračunskih korisnika </w:t>
      </w:r>
      <w:r w:rsidR="008F4E1C" w:rsidRPr="002C2025">
        <w:t>odnosi se na prihod od HZZ-a za osobe na stručnom usavršavanju bez zasnivanja radnog odnosa</w:t>
      </w:r>
      <w:r w:rsidR="002C2025" w:rsidRPr="002C2025">
        <w:t xml:space="preserve"> koji je ostvaren u prethodnom izvještajnom razdoblju, a u ovom je izostao.</w:t>
      </w:r>
    </w:p>
    <w:p w:rsidR="00440355" w:rsidRPr="00A91226" w:rsidRDefault="00440355" w:rsidP="00B50580">
      <w:pPr>
        <w:jc w:val="both"/>
        <w:rPr>
          <w:color w:val="FF0000"/>
        </w:rPr>
      </w:pPr>
    </w:p>
    <w:p w:rsidR="00783343" w:rsidRPr="00A2047C" w:rsidRDefault="00783343" w:rsidP="006A0C00">
      <w:pPr>
        <w:numPr>
          <w:ilvl w:val="0"/>
          <w:numId w:val="17"/>
        </w:numPr>
        <w:ind w:left="0" w:firstLine="0"/>
        <w:jc w:val="both"/>
      </w:pPr>
      <w:r w:rsidRPr="006A0C00">
        <w:t>AOP 133</w:t>
      </w:r>
      <w:r w:rsidR="00B50580" w:rsidRPr="006A0C00">
        <w:t xml:space="preserve"> </w:t>
      </w:r>
      <w:r w:rsidR="006A0C00" w:rsidRPr="006A0C00">
        <w:t xml:space="preserve">Prihodi iz nadležnog proračuna za financiranje rashoda za nabavu nefinancijske imovine </w:t>
      </w:r>
      <w:r w:rsidR="006E6C99">
        <w:t>smanjili su se</w:t>
      </w:r>
      <w:r w:rsidR="006A0C00" w:rsidRPr="002861BC">
        <w:t xml:space="preserve"> pretežito zbog znatno manjih ulaganja u nabavu nefinancijske imovine</w:t>
      </w:r>
      <w:r w:rsidR="006A0C00">
        <w:t xml:space="preserve"> u odnosu na prethodnu godinu</w:t>
      </w:r>
      <w:r w:rsidR="006A0C00" w:rsidRPr="002861BC">
        <w:t xml:space="preserve">, a vezano </w:t>
      </w:r>
      <w:r w:rsidR="006A0C00">
        <w:t xml:space="preserve">je </w:t>
      </w:r>
      <w:r w:rsidR="006A0C00" w:rsidRPr="002861BC">
        <w:t xml:space="preserve">uz dovršetak izgradnje i </w:t>
      </w:r>
      <w:r w:rsidR="006A0C00" w:rsidRPr="00A2047C">
        <w:t>opremanja objekata na graničnim prijelazima Republike Hrvatske.</w:t>
      </w:r>
    </w:p>
    <w:p w:rsidR="00440355" w:rsidRPr="00A2047C" w:rsidRDefault="00440355" w:rsidP="00B50580">
      <w:pPr>
        <w:jc w:val="both"/>
      </w:pPr>
    </w:p>
    <w:p w:rsidR="004112F4" w:rsidRPr="00A2047C" w:rsidRDefault="004112F4" w:rsidP="004112F4">
      <w:pPr>
        <w:numPr>
          <w:ilvl w:val="0"/>
          <w:numId w:val="17"/>
        </w:numPr>
        <w:ind w:left="0" w:firstLine="0"/>
        <w:jc w:val="both"/>
      </w:pPr>
      <w:r w:rsidRPr="00A2047C">
        <w:t>AOP 161 Na</w:t>
      </w:r>
      <w:r w:rsidR="006E6C99">
        <w:t>knade troškova zaposlenima</w:t>
      </w:r>
      <w:r w:rsidRPr="00A2047C">
        <w:t xml:space="preserve"> smanjile </w:t>
      </w:r>
      <w:r w:rsidR="006E6C99">
        <w:t xml:space="preserve">su se </w:t>
      </w:r>
      <w:r w:rsidRPr="00A2047C">
        <w:t>zbog znatno manjeg broja službenih putovanja i stručnih usavršavanja na koja su bili upućeni službenici ministarstva zbog epidemije koronavirusa COVID-19 uzrokovane virusom SARS-CoV-2, što se također odrazilo na izostanak prihoda iz Europskih strukturnih fondova jer je znatan dio inozemnih službenih putovanja vezan uz realizaciju europskih projekata u okviru kojih se navedeni troškovi financiraju.</w:t>
      </w:r>
    </w:p>
    <w:p w:rsidR="004112F4" w:rsidRPr="00A2047C" w:rsidRDefault="004112F4" w:rsidP="004112F4">
      <w:pPr>
        <w:pStyle w:val="Odlomakpopisa"/>
      </w:pPr>
    </w:p>
    <w:p w:rsidR="004112F4" w:rsidRPr="0070294E" w:rsidRDefault="0070294E" w:rsidP="0070294E">
      <w:pPr>
        <w:numPr>
          <w:ilvl w:val="0"/>
          <w:numId w:val="17"/>
        </w:numPr>
        <w:ind w:left="0" w:firstLine="0"/>
        <w:jc w:val="both"/>
      </w:pPr>
      <w:r w:rsidRPr="0070294E">
        <w:lastRenderedPageBreak/>
        <w:t>AOP 173 Službena, radna i zaštitna odjeća i obuća zabilježila je u promatranom izvještajnom razdoblju</w:t>
      </w:r>
      <w:r>
        <w:t xml:space="preserve"> u odnosu na prethodno</w:t>
      </w:r>
      <w:r w:rsidRPr="0070294E">
        <w:t xml:space="preserve"> rast od 20% pretežito zbog nabave odora za carinske službenike.</w:t>
      </w:r>
    </w:p>
    <w:p w:rsidR="00F24C21" w:rsidRPr="00A91226" w:rsidRDefault="00F24C21" w:rsidP="00B50580">
      <w:pPr>
        <w:jc w:val="both"/>
        <w:rPr>
          <w:color w:val="FF0000"/>
        </w:rPr>
      </w:pPr>
    </w:p>
    <w:p w:rsidR="001714CF" w:rsidRDefault="00F24C21" w:rsidP="004B3655">
      <w:pPr>
        <w:numPr>
          <w:ilvl w:val="0"/>
          <w:numId w:val="17"/>
        </w:numPr>
        <w:ind w:left="0" w:firstLine="0"/>
        <w:jc w:val="both"/>
      </w:pPr>
      <w:r w:rsidRPr="0070294E">
        <w:t>AOP 179</w:t>
      </w:r>
      <w:r w:rsidR="00F7521E">
        <w:t xml:space="preserve"> R</w:t>
      </w:r>
      <w:r w:rsidRPr="0070294E">
        <w:t xml:space="preserve">ashodi za zakupnine i najamnine </w:t>
      </w:r>
      <w:r w:rsidR="0070294E" w:rsidRPr="0070294E">
        <w:t xml:space="preserve">bilježe rast zbog nabave Microsoft licenci za 2019. i 2020. godinu jer Središnji državni ured za središnju javnu nabavu nije u 2019. okončao postupak javne nabave. </w:t>
      </w:r>
    </w:p>
    <w:p w:rsidR="00F7521E" w:rsidRDefault="00F7521E" w:rsidP="00F7521E">
      <w:pPr>
        <w:pStyle w:val="Odlomakpopisa"/>
      </w:pPr>
    </w:p>
    <w:p w:rsidR="00802D9B" w:rsidRDefault="00F7521E" w:rsidP="00802D9B">
      <w:pPr>
        <w:numPr>
          <w:ilvl w:val="0"/>
          <w:numId w:val="17"/>
        </w:numPr>
        <w:ind w:left="0" w:firstLine="0"/>
        <w:jc w:val="both"/>
      </w:pPr>
      <w:r>
        <w:t xml:space="preserve">AOP 181 </w:t>
      </w:r>
      <w:r w:rsidR="00802D9B">
        <w:t>Intelektualne i osobne usluge</w:t>
      </w:r>
      <w:r w:rsidR="00396311">
        <w:t xml:space="preserve"> – rast navedenih rashoda</w:t>
      </w:r>
      <w:r w:rsidR="00802D9B">
        <w:t xml:space="preserve"> u promatranom izvještajnom razdoblju u odnosu na prethodno </w:t>
      </w:r>
      <w:r w:rsidR="00396311">
        <w:t>je povezan s realizacijom projekata financiranih iz Europskih strukturnih fondova u Poreznoj upravi.</w:t>
      </w:r>
    </w:p>
    <w:p w:rsidR="00396311" w:rsidRDefault="00396311" w:rsidP="00396311">
      <w:pPr>
        <w:pStyle w:val="Odlomakpopisa"/>
      </w:pPr>
    </w:p>
    <w:p w:rsidR="00396311" w:rsidRDefault="00396311" w:rsidP="00802D9B">
      <w:pPr>
        <w:numPr>
          <w:ilvl w:val="0"/>
          <w:numId w:val="17"/>
        </w:numPr>
        <w:ind w:left="0" w:firstLine="0"/>
        <w:jc w:val="both"/>
      </w:pPr>
      <w:r>
        <w:t>AOP 182 Računalne usluge – rast navedenih rashoda vezan je uz provođenje mjera Vlade Republike Hrvatske za pomoć gospodarstvu tijekom krize uzrokovane koronavirusom. Obzirom na izmjene u dijelu poreznih zakona, a koje su privremenog karaktera, bilo je potrebno prilagoditi informacijski sustav Porezne uprave donesenim izmjenama. Po</w:t>
      </w:r>
      <w:r w:rsidRPr="003644C6">
        <w:t>većanj</w:t>
      </w:r>
      <w:r w:rsidR="002367CB">
        <w:t>u</w:t>
      </w:r>
      <w:r w:rsidRPr="003644C6">
        <w:t xml:space="preserve"> </w:t>
      </w:r>
      <w:r>
        <w:t xml:space="preserve">navedenih </w:t>
      </w:r>
      <w:r w:rsidRPr="003644C6">
        <w:t xml:space="preserve">troškova </w:t>
      </w:r>
      <w:r w:rsidR="002367CB">
        <w:t>doprinijela je i</w:t>
      </w:r>
      <w:r w:rsidRPr="003644C6">
        <w:t xml:space="preserve"> promjen</w:t>
      </w:r>
      <w:r w:rsidR="002367CB">
        <w:t>a</w:t>
      </w:r>
      <w:r w:rsidRPr="003644C6">
        <w:t xml:space="preserve"> metodologije knjiženja</w:t>
      </w:r>
      <w:r w:rsidR="002367CB">
        <w:t xml:space="preserve"> i troškovi</w:t>
      </w:r>
      <w:r w:rsidRPr="003644C6">
        <w:t xml:space="preserve"> održavanja </w:t>
      </w:r>
      <w:r w:rsidR="002367CB">
        <w:t>isporučenih novih programskih rješenja u užem dijelu Ministarstva financija te prilagodbe softvera u Carinskoj upravi od kojih je dio financiran iz Operativnog programa učinkoviti ljudski potencijali.</w:t>
      </w:r>
    </w:p>
    <w:p w:rsidR="00461FD2" w:rsidRDefault="00461FD2" w:rsidP="00461FD2">
      <w:pPr>
        <w:pStyle w:val="Odlomakpopisa"/>
      </w:pPr>
    </w:p>
    <w:p w:rsidR="00461FD2" w:rsidRDefault="00461FD2" w:rsidP="00802D9B">
      <w:pPr>
        <w:numPr>
          <w:ilvl w:val="0"/>
          <w:numId w:val="17"/>
        </w:numPr>
        <w:ind w:left="0" w:firstLine="0"/>
        <w:jc w:val="both"/>
      </w:pPr>
      <w:r>
        <w:t xml:space="preserve">AOP 183 Ostale usluge – navedeni rashodi bilježe rast u promatranom razdoblju zbog povećanih potreba za uslugama čišćenja radi pridržavanja preporučenih epidemioloških mjera u borbi protiv epidemije </w:t>
      </w:r>
      <w:r w:rsidRPr="00BE4C70">
        <w:t>koronavirusa COVID-19 uzrokovane virusom SARS-CoV-2</w:t>
      </w:r>
      <w:r>
        <w:t>, ali i zbog potresa u ožujku 2020. godine koji je uzrokovao znatna oštećenja na objektima Ministarstva financija, a koji su trebali biti očišćeni, a šteta sanirana kako bi opet bili upotrebljivi.</w:t>
      </w:r>
    </w:p>
    <w:p w:rsidR="00232495" w:rsidRDefault="00232495" w:rsidP="00232495">
      <w:pPr>
        <w:pStyle w:val="Odlomakpopisa"/>
      </w:pPr>
    </w:p>
    <w:p w:rsidR="00232495" w:rsidRPr="0070294E" w:rsidRDefault="00232495" w:rsidP="00802D9B">
      <w:pPr>
        <w:numPr>
          <w:ilvl w:val="0"/>
          <w:numId w:val="17"/>
        </w:numPr>
        <w:ind w:left="0" w:firstLine="0"/>
        <w:jc w:val="both"/>
      </w:pPr>
      <w:r>
        <w:t>AOP 190 Pristojbe i naknade su u promatranom razdoblju</w:t>
      </w:r>
      <w:r w:rsidR="00AB4AA8">
        <w:t xml:space="preserve"> tekuće godine u odnosu na prethodno </w:t>
      </w:r>
      <w:r>
        <w:t>manje zbog promjene načina obračuna naknade</w:t>
      </w:r>
      <w:r w:rsidRPr="00232495">
        <w:t xml:space="preserve"> za nezapošljavanje osoba s invaliditetom</w:t>
      </w:r>
      <w:r w:rsidR="001A5C24">
        <w:t>.</w:t>
      </w:r>
    </w:p>
    <w:p w:rsidR="001714CF" w:rsidRPr="00232495" w:rsidRDefault="001714CF" w:rsidP="00232495">
      <w:pPr>
        <w:jc w:val="both"/>
      </w:pPr>
    </w:p>
    <w:p w:rsidR="001714CF" w:rsidRDefault="00F8286F" w:rsidP="00232495">
      <w:pPr>
        <w:numPr>
          <w:ilvl w:val="0"/>
          <w:numId w:val="17"/>
        </w:numPr>
        <w:ind w:left="0" w:firstLine="0"/>
        <w:jc w:val="both"/>
      </w:pPr>
      <w:r w:rsidRPr="00232495">
        <w:t xml:space="preserve"> </w:t>
      </w:r>
      <w:r w:rsidR="00232495" w:rsidRPr="003644C6">
        <w:t>AOP 191 Troškovi sudskih postupaka – su znatno porasli zbog promjene metodologije knjiženja jer su se navedeni troškovi iskazivali u okviru odjeljka 3434 (AOP 211), ali također i zbog ubrzanja postupka rješavanja zaostalih predmeta u Samostalnom sektoru za drugostupanjski upravni postupak što je rezultiralo povećanim brojem sudskih presuda po kojima je nastala obveza plaćanja sudskih troškova.</w:t>
      </w:r>
    </w:p>
    <w:p w:rsidR="00232495" w:rsidRPr="00232495" w:rsidRDefault="00232495" w:rsidP="00232495">
      <w:pPr>
        <w:jc w:val="both"/>
      </w:pPr>
    </w:p>
    <w:p w:rsidR="002C6813" w:rsidRDefault="00F8286F" w:rsidP="002C6813">
      <w:pPr>
        <w:numPr>
          <w:ilvl w:val="0"/>
          <w:numId w:val="17"/>
        </w:numPr>
        <w:ind w:left="0" w:firstLine="0"/>
        <w:jc w:val="both"/>
      </w:pPr>
      <w:r w:rsidRPr="001A5C24">
        <w:t xml:space="preserve"> AOP 210 Zatezne k</w:t>
      </w:r>
      <w:r w:rsidR="001A5C24" w:rsidRPr="001A5C24">
        <w:t>amate – navedeni rashodi su vezani za sudske postupke u Poreznoj upravi</w:t>
      </w:r>
      <w:r w:rsidRPr="001A5C24">
        <w:t>.</w:t>
      </w:r>
      <w:r w:rsidR="001A5C24" w:rsidRPr="001A5C24">
        <w:t xml:space="preserve"> Tijekom 2020. godine isplaćene su plaće temeljem sudskih rješenja s uključenim zateznim kamatama.</w:t>
      </w:r>
    </w:p>
    <w:p w:rsidR="00B50580" w:rsidRPr="002C6813" w:rsidRDefault="00B50580" w:rsidP="002C6813">
      <w:pPr>
        <w:jc w:val="both"/>
      </w:pPr>
    </w:p>
    <w:p w:rsidR="00B50580" w:rsidRDefault="00D84888" w:rsidP="002C6813">
      <w:pPr>
        <w:numPr>
          <w:ilvl w:val="0"/>
          <w:numId w:val="17"/>
        </w:numPr>
        <w:ind w:left="0" w:firstLine="0"/>
        <w:jc w:val="both"/>
      </w:pPr>
      <w:r w:rsidRPr="002C6813">
        <w:t xml:space="preserve"> </w:t>
      </w:r>
      <w:r w:rsidR="006B070C" w:rsidRPr="002C6813">
        <w:t xml:space="preserve">AOP 263 </w:t>
      </w:r>
      <w:r w:rsidR="002C6813" w:rsidRPr="002C6813">
        <w:t>Ugovorene kazne i ostale naknade šteta</w:t>
      </w:r>
      <w:r w:rsidR="002C6813">
        <w:t xml:space="preserve"> iznosile su 277.607 kuna i odnosile su se na povrat kamata</w:t>
      </w:r>
    </w:p>
    <w:p w:rsidR="00767BFB" w:rsidRDefault="00767BFB" w:rsidP="00767BFB">
      <w:pPr>
        <w:pStyle w:val="Odlomakpopisa"/>
      </w:pPr>
    </w:p>
    <w:p w:rsidR="00767BFB" w:rsidRDefault="00767BFB" w:rsidP="002C6813">
      <w:pPr>
        <w:numPr>
          <w:ilvl w:val="0"/>
          <w:numId w:val="17"/>
        </w:numPr>
        <w:ind w:left="0" w:firstLine="0"/>
        <w:jc w:val="both"/>
      </w:pPr>
      <w:r>
        <w:t xml:space="preserve">AOP 211 Ostali nespomenuti financijski rashodi </w:t>
      </w:r>
      <w:r w:rsidR="00EB493B">
        <w:t>–</w:t>
      </w:r>
      <w:r>
        <w:t xml:space="preserve"> </w:t>
      </w:r>
      <w:r w:rsidR="00EB493B">
        <w:t>smanjenje navedenih rashoda obrazložen</w:t>
      </w:r>
      <w:r w:rsidR="00AB4AA8">
        <w:t>o</w:t>
      </w:r>
      <w:r w:rsidR="00EB493B">
        <w:t xml:space="preserve"> </w:t>
      </w:r>
      <w:r w:rsidR="00AB4AA8">
        <w:t xml:space="preserve">je </w:t>
      </w:r>
      <w:r w:rsidR="00EB493B">
        <w:t>pod AOP 191.</w:t>
      </w:r>
    </w:p>
    <w:p w:rsidR="00EB493B" w:rsidRPr="002C6813" w:rsidRDefault="00EB493B" w:rsidP="00EB493B">
      <w:pPr>
        <w:jc w:val="both"/>
      </w:pPr>
    </w:p>
    <w:p w:rsidR="002C6813" w:rsidRDefault="00EB493B" w:rsidP="00EB493B">
      <w:pPr>
        <w:numPr>
          <w:ilvl w:val="0"/>
          <w:numId w:val="17"/>
        </w:numPr>
        <w:ind w:left="0" w:firstLine="0"/>
        <w:jc w:val="both"/>
      </w:pPr>
      <w:r>
        <w:t xml:space="preserve">AOP 270 </w:t>
      </w:r>
      <w:r w:rsidRPr="00EB493B">
        <w:t>Ugovorene kazne i ostale naknade šteta</w:t>
      </w:r>
      <w:r>
        <w:t xml:space="preserve"> iznosile su u promatranom razdoblju tekuće godine 277.607 kuna i odnosile su se na povrat kamata na plaćeni porez, troškove žalbenog i prekršajnog postupka i ovrha iz nadležnosti Carinske uprave.</w:t>
      </w:r>
    </w:p>
    <w:p w:rsidR="00E47567" w:rsidRPr="00A938E0" w:rsidRDefault="00E47567" w:rsidP="00EA6970">
      <w:pPr>
        <w:numPr>
          <w:ilvl w:val="0"/>
          <w:numId w:val="17"/>
        </w:numPr>
        <w:ind w:left="0" w:firstLine="0"/>
        <w:jc w:val="both"/>
      </w:pPr>
      <w:r w:rsidRPr="00E47567">
        <w:lastRenderedPageBreak/>
        <w:t>AOP 286</w:t>
      </w:r>
      <w:r w:rsidR="00E959BD" w:rsidRPr="00E47567">
        <w:t xml:space="preserve"> </w:t>
      </w:r>
      <w:r w:rsidR="00AB4AA8">
        <w:t>Obračunati prihodi poslovanja</w:t>
      </w:r>
      <w:r w:rsidR="00F85501" w:rsidRPr="00E47567">
        <w:t xml:space="preserve"> </w:t>
      </w:r>
      <w:r w:rsidR="0078032E" w:rsidRPr="00E47567">
        <w:t>odnos</w:t>
      </w:r>
      <w:r w:rsidRPr="00E47567">
        <w:t>e</w:t>
      </w:r>
      <w:r w:rsidR="00AB4AA8">
        <w:t xml:space="preserve"> se</w:t>
      </w:r>
      <w:r w:rsidR="0078032E" w:rsidRPr="00E47567">
        <w:t xml:space="preserve"> </w:t>
      </w:r>
      <w:r w:rsidR="00AB4AA8" w:rsidRPr="00E47567">
        <w:t xml:space="preserve">uglavnom </w:t>
      </w:r>
      <w:r w:rsidR="0078032E" w:rsidRPr="00E47567">
        <w:t xml:space="preserve">na potraživanja za poreze i doprinose </w:t>
      </w:r>
      <w:r w:rsidR="008E6824" w:rsidRPr="00E47567">
        <w:t xml:space="preserve">iskazane u </w:t>
      </w:r>
      <w:r w:rsidR="00F85501" w:rsidRPr="00E47567">
        <w:t xml:space="preserve">financijskim izvještajima Porezne uprave </w:t>
      </w:r>
      <w:r w:rsidR="008E6824" w:rsidRPr="00E47567">
        <w:t>pod utjecajem</w:t>
      </w:r>
      <w:r w:rsidR="0078032E" w:rsidRPr="00E47567">
        <w:t xml:space="preserve"> smanjenj</w:t>
      </w:r>
      <w:r w:rsidR="008E6824" w:rsidRPr="00E47567">
        <w:t>a</w:t>
      </w:r>
      <w:r w:rsidR="0078032E" w:rsidRPr="00E47567">
        <w:t xml:space="preserve"> sporn</w:t>
      </w:r>
      <w:r w:rsidRPr="00E47567">
        <w:t xml:space="preserve">o naplativih poreza i doprinosa. Smanjeni su u odnosu na promatrano razdoblje prethodne </w:t>
      </w:r>
      <w:r w:rsidRPr="00A938E0">
        <w:t>godine zbog isknjiženja doprinosa za mirovinsko osiguranje koje se više ne vode u evidencijama Ministarstva financija, Porezne uprave.</w:t>
      </w:r>
    </w:p>
    <w:p w:rsidR="00E47567" w:rsidRPr="00A938E0" w:rsidRDefault="00E47567" w:rsidP="00E47567">
      <w:pPr>
        <w:jc w:val="both"/>
      </w:pPr>
    </w:p>
    <w:p w:rsidR="00AB4AA8" w:rsidRDefault="00AB4AA8" w:rsidP="007A408D">
      <w:pPr>
        <w:numPr>
          <w:ilvl w:val="0"/>
          <w:numId w:val="17"/>
        </w:numPr>
        <w:ind w:left="0" w:firstLine="0"/>
        <w:jc w:val="both"/>
      </w:pPr>
      <w:r w:rsidRPr="00A938E0">
        <w:t>AOP 341</w:t>
      </w:r>
      <w:r w:rsidR="0020563E" w:rsidRPr="00A938E0">
        <w:t xml:space="preserve"> Rashodi za nabavu nefinancijske </w:t>
      </w:r>
      <w:r w:rsidRPr="00A938E0">
        <w:t>imovine - smanjenje rashoda za nabavu nefinancijske imovine pretežito proizlazi iz privođenja kraju poslovnih aktivnosti na izgradnji i opremanju graničnih prijelaza sukladno Akcijskom planu unapređenja stanja na graničnim prijelazima i ispunjavanja obveza iz 24. poglavlja u vezi pristupanja u Europsku uniju kao preduvjet</w:t>
      </w:r>
      <w:r w:rsidR="00A2047C">
        <w:t>a</w:t>
      </w:r>
      <w:r w:rsidRPr="00A938E0">
        <w:t xml:space="preserve"> za početak uvođenja Schengenskog režima na vanjskoj granici RH.</w:t>
      </w:r>
      <w:r w:rsidR="00A938E0">
        <w:t xml:space="preserve"> Dio smanjenja je </w:t>
      </w:r>
      <w:r w:rsidR="00DE4C81">
        <w:t>nastao radi odustajanj</w:t>
      </w:r>
      <w:r w:rsidR="00A938E0">
        <w:t>a od dodatnih ulaganja u dugotrajnu imovinu kao dio mjere općih ušteda u proračunu</w:t>
      </w:r>
      <w:r w:rsidR="008A1F85">
        <w:t>.</w:t>
      </w:r>
      <w:r w:rsidR="00A938E0">
        <w:t xml:space="preserve"> </w:t>
      </w:r>
    </w:p>
    <w:p w:rsidR="00DE4C81" w:rsidRPr="00A938E0" w:rsidRDefault="00DE4C81" w:rsidP="00DE4C81">
      <w:pPr>
        <w:jc w:val="both"/>
      </w:pPr>
    </w:p>
    <w:p w:rsidR="00DE4C81" w:rsidRDefault="00E959BD" w:rsidP="00DE4C81">
      <w:pPr>
        <w:numPr>
          <w:ilvl w:val="0"/>
          <w:numId w:val="17"/>
        </w:numPr>
        <w:ind w:left="0" w:firstLine="0"/>
        <w:jc w:val="both"/>
      </w:pPr>
      <w:r w:rsidRPr="00DE4C81">
        <w:t>A</w:t>
      </w:r>
      <w:r w:rsidR="008A1F85" w:rsidRPr="00DE4C81">
        <w:t>OP 598</w:t>
      </w:r>
      <w:r w:rsidRPr="00DE4C81">
        <w:t xml:space="preserve"> </w:t>
      </w:r>
      <w:r w:rsidR="008A1F85" w:rsidRPr="00DE4C81">
        <w:t xml:space="preserve">Otplata glavnice primljenih zajmova od ostalih tuzemnih financijskih institucija izvan javnog sektora </w:t>
      </w:r>
      <w:r w:rsidRPr="00DE4C81">
        <w:t xml:space="preserve">– odnosi se na </w:t>
      </w:r>
      <w:r w:rsidR="008A1F85" w:rsidRPr="00DE4C81">
        <w:t>otplatu rata</w:t>
      </w:r>
      <w:r w:rsidRPr="00DE4C81">
        <w:t xml:space="preserve"> financijskog leasinga </w:t>
      </w:r>
      <w:r w:rsidR="008A1F85" w:rsidRPr="00DE4C81">
        <w:t xml:space="preserve">kojim je financirana </w:t>
      </w:r>
      <w:r w:rsidR="00DE4C81" w:rsidRPr="00DE4C81">
        <w:t xml:space="preserve">kupnja </w:t>
      </w:r>
      <w:r w:rsidR="00993A0F">
        <w:t xml:space="preserve">dva </w:t>
      </w:r>
      <w:bookmarkStart w:id="0" w:name="_GoBack"/>
      <w:bookmarkEnd w:id="0"/>
      <w:r w:rsidR="00DE4C81" w:rsidRPr="00DE4C81">
        <w:t>službenih automobila u užem dijelu Ministarstva financija i Carinskoj upravi.</w:t>
      </w:r>
    </w:p>
    <w:p w:rsidR="00DE4C81" w:rsidRDefault="00DE4C81" w:rsidP="00DE4C81">
      <w:pPr>
        <w:pStyle w:val="Odlomakpopisa"/>
        <w:rPr>
          <w:color w:val="FF0000"/>
        </w:rPr>
      </w:pPr>
    </w:p>
    <w:p w:rsidR="00626B32" w:rsidRDefault="008E6824" w:rsidP="00DE4C81">
      <w:pPr>
        <w:numPr>
          <w:ilvl w:val="0"/>
          <w:numId w:val="17"/>
        </w:numPr>
        <w:ind w:left="0" w:firstLine="0"/>
        <w:jc w:val="both"/>
      </w:pPr>
      <w:r w:rsidRPr="00C8382E">
        <w:t>AOP 631 – AOP 636</w:t>
      </w:r>
      <w:r w:rsidR="00D77246" w:rsidRPr="00C8382E">
        <w:t xml:space="preserve"> odnosi se na:</w:t>
      </w:r>
    </w:p>
    <w:p w:rsidR="00E3126F" w:rsidRDefault="00E3126F" w:rsidP="00E312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"\\\\mf21\\Home\\iboras\\My Documents\\RAČUNOVODSTVO\\FINANCIJSKI IZVJEŠTAJI\\2020\\12-2020 razina 12\\KONSOLIDIRANE TABLICE IZVJEŠTAJA-12.xlsx" "rezulatat za bilješke!R15C1:R22C7" \a \f 4 \h </w:instrText>
      </w:r>
      <w:r>
        <w:fldChar w:fldCharType="separate"/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380"/>
        <w:gridCol w:w="1200"/>
        <w:gridCol w:w="1200"/>
        <w:gridCol w:w="1200"/>
        <w:gridCol w:w="1200"/>
        <w:gridCol w:w="1200"/>
        <w:gridCol w:w="1200"/>
      </w:tblGrid>
      <w:tr w:rsidR="00E3126F" w:rsidRPr="00E3126F" w:rsidTr="00E3126F">
        <w:trPr>
          <w:trHeight w:val="49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Naziv glave unutar razdjela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Preneseni rezultat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Ostvareni rezultat tekuće godine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Višak raspoloživ u 2021.godini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Manjak za pokriće u 2021.godini</w:t>
            </w:r>
          </w:p>
        </w:tc>
      </w:tr>
      <w:tr w:rsidR="00E3126F" w:rsidRPr="00E3126F" w:rsidTr="00E3126F">
        <w:trPr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6F" w:rsidRPr="00E3126F" w:rsidRDefault="00E3126F" w:rsidP="00E31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Višak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Manjak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Višak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Manjak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6F" w:rsidRPr="00E3126F" w:rsidRDefault="00E3126F" w:rsidP="00E3126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26F" w:rsidRPr="00E3126F" w:rsidRDefault="00E3126F" w:rsidP="00E3126F">
            <w:pPr>
              <w:rPr>
                <w:sz w:val="20"/>
                <w:szCs w:val="20"/>
              </w:rPr>
            </w:pPr>
          </w:p>
        </w:tc>
      </w:tr>
      <w:tr w:rsidR="00E3126F" w:rsidRPr="00E3126F" w:rsidTr="00E3126F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Ministarstvo financija (uži dio)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1.950.120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310.479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2.260.599</w:t>
            </w:r>
          </w:p>
        </w:tc>
      </w:tr>
      <w:tr w:rsidR="00E3126F" w:rsidRPr="00E3126F" w:rsidTr="00E3126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Carinska uprava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2.802.275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11.809.374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9.007.099</w:t>
            </w:r>
          </w:p>
        </w:tc>
      </w:tr>
      <w:tr w:rsidR="00E3126F" w:rsidRPr="00E3126F" w:rsidTr="00E3126F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Porezna uprava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5.774.500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21.830.614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16.056.114</w:t>
            </w:r>
          </w:p>
        </w:tc>
      </w:tr>
      <w:tr w:rsidR="00E3126F" w:rsidRPr="00E3126F" w:rsidTr="00E3126F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Agencija za reviziju sustava provedbe programa 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44.107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71.276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115.383</w:t>
            </w:r>
          </w:p>
        </w:tc>
      </w:tr>
      <w:tr w:rsidR="00E3126F" w:rsidRPr="00E3126F" w:rsidTr="00E3126F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Odbor za standarde financijskog izvještavanja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sz w:val="20"/>
                <w:szCs w:val="20"/>
              </w:rPr>
            </w:pPr>
            <w:r w:rsidRPr="00E3126F">
              <w:rPr>
                <w:sz w:val="20"/>
                <w:szCs w:val="20"/>
              </w:rPr>
              <w:t>0</w:t>
            </w:r>
          </w:p>
        </w:tc>
      </w:tr>
      <w:tr w:rsidR="00E3126F" w:rsidRPr="00E3126F" w:rsidTr="00E3126F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b/>
                <w:bCs/>
                <w:sz w:val="20"/>
                <w:szCs w:val="20"/>
              </w:rPr>
            </w:pPr>
            <w:r w:rsidRPr="00E3126F">
              <w:rPr>
                <w:b/>
                <w:bCs/>
                <w:sz w:val="20"/>
                <w:szCs w:val="20"/>
              </w:rPr>
              <w:t xml:space="preserve">Ukupan rezultat za </w:t>
            </w:r>
            <w:r w:rsidRPr="00E3126F">
              <w:rPr>
                <w:b/>
                <w:bCs/>
                <w:sz w:val="20"/>
                <w:szCs w:val="20"/>
              </w:rPr>
              <w:br/>
              <w:t>razdjel 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b/>
                <w:bCs/>
                <w:sz w:val="20"/>
                <w:szCs w:val="20"/>
              </w:rPr>
            </w:pPr>
            <w:r w:rsidRPr="00E3126F">
              <w:rPr>
                <w:b/>
                <w:bCs/>
                <w:sz w:val="20"/>
                <w:szCs w:val="20"/>
              </w:rPr>
              <w:t>6.581.910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b/>
                <w:bCs/>
                <w:sz w:val="20"/>
                <w:szCs w:val="20"/>
              </w:rPr>
            </w:pPr>
            <w:r w:rsidRPr="00E312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b/>
                <w:bCs/>
                <w:sz w:val="20"/>
                <w:szCs w:val="20"/>
              </w:rPr>
            </w:pPr>
            <w:r w:rsidRPr="00E312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b/>
                <w:bCs/>
                <w:sz w:val="20"/>
                <w:szCs w:val="20"/>
              </w:rPr>
            </w:pPr>
            <w:r w:rsidRPr="00E3126F">
              <w:rPr>
                <w:b/>
                <w:bCs/>
                <w:sz w:val="20"/>
                <w:szCs w:val="20"/>
              </w:rPr>
              <w:t>34.021.105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b/>
                <w:bCs/>
                <w:sz w:val="20"/>
                <w:szCs w:val="20"/>
              </w:rPr>
            </w:pPr>
            <w:r w:rsidRPr="00E312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26F" w:rsidRPr="00E3126F" w:rsidRDefault="00E3126F" w:rsidP="00E3126F">
            <w:pPr>
              <w:jc w:val="center"/>
              <w:rPr>
                <w:b/>
                <w:bCs/>
                <w:sz w:val="20"/>
                <w:szCs w:val="20"/>
              </w:rPr>
            </w:pPr>
            <w:r w:rsidRPr="00E3126F">
              <w:rPr>
                <w:b/>
                <w:bCs/>
                <w:sz w:val="20"/>
                <w:szCs w:val="20"/>
              </w:rPr>
              <w:t>27.439.195</w:t>
            </w:r>
          </w:p>
        </w:tc>
      </w:tr>
    </w:tbl>
    <w:p w:rsidR="00E3126F" w:rsidRDefault="00E3126F" w:rsidP="00E3126F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end"/>
      </w:r>
      <w:r>
        <w:fldChar w:fldCharType="begin"/>
      </w:r>
      <w:r>
        <w:instrText xml:space="preserve"> LINK Excel.Sheet.12 "\\\\mf21\\Home\\iboras\\My Documents\\RAČUNOVODSTVO\\FINANCIJSKI IZVJEŠTAJI\\2020\\12-2020 razina 12\\KONSOLIDIRANE TABLICE IZVJEŠTAJA-12.xlsx" "rezulatat za bilješke!R15C1:R22C7" \a \f 4 \h </w:instrText>
      </w:r>
      <w:r>
        <w:fldChar w:fldCharType="separate"/>
      </w:r>
    </w:p>
    <w:p w:rsidR="00CD4F43" w:rsidRPr="00E3126F" w:rsidRDefault="00E3126F" w:rsidP="00B50580">
      <w:pPr>
        <w:jc w:val="both"/>
      </w:pPr>
      <w:r>
        <w:fldChar w:fldCharType="end"/>
      </w:r>
      <w:r w:rsidR="00CD4F43" w:rsidRPr="00E3126F">
        <w:t>Ostala smanjenja rashoda poslovanja i rashoda za nabavu nefinancijske imovine rezultat su racionalnog postupanja sa rashodima u poslovanju, dok je do povećanja došlo zbog dinamike izvršavanja poslova redovne djelatnosti.</w:t>
      </w:r>
    </w:p>
    <w:p w:rsidR="00E959BD" w:rsidRPr="00A91226" w:rsidRDefault="00E959BD" w:rsidP="00883F87">
      <w:pPr>
        <w:ind w:left="720"/>
        <w:jc w:val="both"/>
        <w:rPr>
          <w:color w:val="FF0000"/>
        </w:rPr>
      </w:pPr>
    </w:p>
    <w:p w:rsidR="008665D5" w:rsidRPr="00A91226" w:rsidRDefault="008665D5" w:rsidP="00883F87">
      <w:pPr>
        <w:jc w:val="both"/>
        <w:rPr>
          <w:color w:val="FF0000"/>
        </w:rPr>
      </w:pPr>
    </w:p>
    <w:p w:rsidR="00CD4F43" w:rsidRPr="00B24757" w:rsidRDefault="00CD4F43" w:rsidP="00B50580">
      <w:pPr>
        <w:jc w:val="center"/>
        <w:rPr>
          <w:b/>
          <w:u w:val="single"/>
        </w:rPr>
      </w:pPr>
      <w:r w:rsidRPr="00B24757">
        <w:rPr>
          <w:b/>
          <w:u w:val="single"/>
        </w:rPr>
        <w:t xml:space="preserve">BILJEŠKE UZ </w:t>
      </w:r>
      <w:r w:rsidR="00B24757">
        <w:rPr>
          <w:b/>
          <w:u w:val="single"/>
        </w:rPr>
        <w:t xml:space="preserve">IZVJEŠTAJ O </w:t>
      </w:r>
      <w:r w:rsidRPr="00B24757">
        <w:rPr>
          <w:b/>
          <w:u w:val="single"/>
        </w:rPr>
        <w:t>PROMJEN</w:t>
      </w:r>
      <w:r w:rsidR="00B24757">
        <w:rPr>
          <w:b/>
          <w:u w:val="single"/>
        </w:rPr>
        <w:t>AMA</w:t>
      </w:r>
      <w:r w:rsidRPr="00B24757">
        <w:rPr>
          <w:b/>
          <w:u w:val="single"/>
        </w:rPr>
        <w:t xml:space="preserve"> U VRIJEDNOSTI I OBUJMU IMOVINE I OBVEZA</w:t>
      </w:r>
    </w:p>
    <w:p w:rsidR="00BF3EB7" w:rsidRPr="00A91226" w:rsidRDefault="00BF3EB7" w:rsidP="00883F87">
      <w:pPr>
        <w:jc w:val="both"/>
        <w:rPr>
          <w:b/>
          <w:color w:val="FF0000"/>
          <w:u w:val="single"/>
        </w:rPr>
      </w:pPr>
    </w:p>
    <w:p w:rsidR="00BF3EB7" w:rsidRPr="00A91226" w:rsidRDefault="00BF3EB7" w:rsidP="00883F87">
      <w:pPr>
        <w:pStyle w:val="Odlomakpopisa"/>
        <w:jc w:val="both"/>
        <w:rPr>
          <w:b/>
          <w:color w:val="FF0000"/>
          <w:u w:val="single"/>
        </w:rPr>
      </w:pPr>
    </w:p>
    <w:p w:rsidR="00BF3BCF" w:rsidRPr="00C025A4" w:rsidRDefault="00BF3EB7" w:rsidP="00BF3BCF">
      <w:pPr>
        <w:numPr>
          <w:ilvl w:val="0"/>
          <w:numId w:val="16"/>
        </w:numPr>
        <w:ind w:left="0" w:firstLine="0"/>
        <w:jc w:val="both"/>
      </w:pPr>
      <w:r w:rsidRPr="00BE47A7">
        <w:t xml:space="preserve">AOP </w:t>
      </w:r>
      <w:r w:rsidR="0036208D">
        <w:t>0</w:t>
      </w:r>
      <w:r w:rsidR="00BE47A7">
        <w:t>1</w:t>
      </w:r>
      <w:r w:rsidR="0036208D">
        <w:t>8</w:t>
      </w:r>
      <w:r w:rsidR="00D878A9" w:rsidRPr="00BE47A7">
        <w:t xml:space="preserve"> </w:t>
      </w:r>
      <w:r w:rsidRPr="00BE47A7">
        <w:t xml:space="preserve"> </w:t>
      </w:r>
      <w:r w:rsidR="00D878A9" w:rsidRPr="00BE47A7">
        <w:t xml:space="preserve">Promjene u obujmu imovine - </w:t>
      </w:r>
      <w:r w:rsidR="00BF3BCF" w:rsidRPr="00BE47A7">
        <w:t>do smanjenja u obujmu imovine za 13</w:t>
      </w:r>
      <w:r w:rsidR="00B24757">
        <w:t>8</w:t>
      </w:r>
      <w:r w:rsidR="00BF3BCF" w:rsidRPr="00BE47A7">
        <w:t>.</w:t>
      </w:r>
      <w:r w:rsidR="00B24757">
        <w:t>166</w:t>
      </w:r>
      <w:r w:rsidR="00BF3BCF" w:rsidRPr="00BE47A7">
        <w:t xml:space="preserve"> </w:t>
      </w:r>
      <w:r w:rsidR="00BF3BCF">
        <w:t>kuna</w:t>
      </w:r>
      <w:r w:rsidR="00BF3BCF" w:rsidRPr="00C025A4">
        <w:t xml:space="preserve"> </w:t>
      </w:r>
      <w:r w:rsidR="00B24757">
        <w:t xml:space="preserve">najvećim dijelom </w:t>
      </w:r>
      <w:r w:rsidR="00BF3BCF" w:rsidRPr="00C025A4">
        <w:t>došlo</w:t>
      </w:r>
      <w:r w:rsidR="00BF3BCF">
        <w:t xml:space="preserve"> je</w:t>
      </w:r>
      <w:r w:rsidR="00BF3BCF" w:rsidRPr="00C025A4">
        <w:t xml:space="preserve"> zbog rashodovanja neupotrebljive, uništene i dotrajale imovine</w:t>
      </w:r>
      <w:r w:rsidR="00BE47A7">
        <w:t xml:space="preserve"> koja je imala sadašnju vrijednost </w:t>
      </w:r>
      <w:r w:rsidR="00BF3BCF">
        <w:t xml:space="preserve">u užem </w:t>
      </w:r>
      <w:r w:rsidR="00BE47A7">
        <w:t>dijelu Ministarstva financija,</w:t>
      </w:r>
      <w:r w:rsidR="00BF3BCF">
        <w:t xml:space="preserve"> Poreznoj upravi</w:t>
      </w:r>
      <w:r w:rsidR="00BF3BCF" w:rsidRPr="00C025A4">
        <w:t xml:space="preserve"> </w:t>
      </w:r>
      <w:r w:rsidR="00BE47A7">
        <w:t>i Agenciji za revi</w:t>
      </w:r>
      <w:r w:rsidR="0036208D">
        <w:t xml:space="preserve">ziju sustava provedbe programa </w:t>
      </w:r>
      <w:r w:rsidR="00BE47A7">
        <w:t>EU. Smanjenju u obujmu imovine doprinio je</w:t>
      </w:r>
      <w:r w:rsidR="00BF3BCF" w:rsidRPr="00C025A4">
        <w:t xml:space="preserve"> </w:t>
      </w:r>
      <w:r w:rsidR="00B24757">
        <w:t xml:space="preserve">i </w:t>
      </w:r>
      <w:r w:rsidR="00BF3BCF" w:rsidRPr="00C025A4">
        <w:t>prijenos opreme bez naknade Ministarstvu unutarnjih poslova ukupne sadašnje vrijednosti 1.950,00 k</w:t>
      </w:r>
      <w:r w:rsidR="00BF3BCF">
        <w:t>una.</w:t>
      </w:r>
    </w:p>
    <w:p w:rsidR="00BE47A7" w:rsidRDefault="00BF3BCF" w:rsidP="00BF3BCF">
      <w:pPr>
        <w:jc w:val="both"/>
      </w:pPr>
      <w:r w:rsidRPr="00C025A4">
        <w:lastRenderedPageBreak/>
        <w:t xml:space="preserve">Sve navedene promjene </w:t>
      </w:r>
      <w:r>
        <w:t>u obujmu imovine proknjižene</w:t>
      </w:r>
      <w:r w:rsidRPr="00C025A4">
        <w:t xml:space="preserve"> su temeljem </w:t>
      </w:r>
      <w:r w:rsidR="00BE47A7">
        <w:t>donesenih O</w:t>
      </w:r>
      <w:r w:rsidRPr="00C025A4">
        <w:t xml:space="preserve">dluka </w:t>
      </w:r>
      <w:r w:rsidR="00BE47A7">
        <w:t>o rashodovanju dugotrajne nefinancijske imovine i vjerodostojne dokumentacije o njezinom  zbrinjavanju</w:t>
      </w:r>
      <w:r w:rsidR="00B24757">
        <w:t xml:space="preserve"> te temeljem Odluke o prijenosu imovine bez naknade Ministarstvu unutarnjih poslova.</w:t>
      </w:r>
    </w:p>
    <w:p w:rsidR="00B24757" w:rsidRDefault="00B24757" w:rsidP="00BF3BCF">
      <w:pPr>
        <w:jc w:val="both"/>
      </w:pPr>
    </w:p>
    <w:p w:rsidR="00B24757" w:rsidRDefault="00B24757" w:rsidP="00BF3BCF">
      <w:pPr>
        <w:jc w:val="both"/>
      </w:pPr>
    </w:p>
    <w:p w:rsidR="00B24757" w:rsidRDefault="00B24757" w:rsidP="00BF3BCF">
      <w:pPr>
        <w:jc w:val="both"/>
      </w:pPr>
    </w:p>
    <w:p w:rsidR="00C34646" w:rsidRPr="00981108" w:rsidRDefault="00C34646" w:rsidP="00B24757">
      <w:pPr>
        <w:jc w:val="center"/>
        <w:rPr>
          <w:b/>
          <w:u w:val="single"/>
        </w:rPr>
      </w:pPr>
      <w:r w:rsidRPr="00981108">
        <w:rPr>
          <w:b/>
          <w:u w:val="single"/>
        </w:rPr>
        <w:t>BILJEŠKE UZ IZVJEŠTAJ O RASHODIMA PREMA FUNKCIJSKOJ KLASIFIKACIJI</w:t>
      </w:r>
    </w:p>
    <w:p w:rsidR="00B50580" w:rsidRPr="00A91226" w:rsidRDefault="00B50580" w:rsidP="00B50580">
      <w:pPr>
        <w:jc w:val="center"/>
        <w:rPr>
          <w:b/>
          <w:color w:val="FF0000"/>
          <w:u w:val="single"/>
        </w:rPr>
      </w:pPr>
    </w:p>
    <w:p w:rsidR="00C34646" w:rsidRPr="00A91226" w:rsidRDefault="00C34646" w:rsidP="00883F87">
      <w:pPr>
        <w:jc w:val="both"/>
        <w:rPr>
          <w:b/>
          <w:color w:val="FF0000"/>
          <w:u w:val="single"/>
        </w:rPr>
      </w:pPr>
    </w:p>
    <w:p w:rsidR="00C34646" w:rsidRPr="00EC14A3" w:rsidRDefault="0001381D" w:rsidP="0036208D">
      <w:pPr>
        <w:pStyle w:val="Odlomakpopisa"/>
        <w:numPr>
          <w:ilvl w:val="0"/>
          <w:numId w:val="10"/>
        </w:numPr>
        <w:ind w:left="0" w:firstLine="0"/>
        <w:jc w:val="both"/>
      </w:pPr>
      <w:r w:rsidRPr="00EC14A3">
        <w:t>AOP 004 Financijski i fiskalni poslovi –</w:t>
      </w:r>
      <w:r w:rsidR="00917398" w:rsidRPr="00EC14A3">
        <w:t xml:space="preserve"> </w:t>
      </w:r>
      <w:r w:rsidR="00BE7054" w:rsidRPr="00EC14A3">
        <w:t xml:space="preserve">rashodi </w:t>
      </w:r>
      <w:r w:rsidR="00917398" w:rsidRPr="00EC14A3">
        <w:t>za navedenu namjenu u</w:t>
      </w:r>
      <w:r w:rsidR="00BE7054" w:rsidRPr="00EC14A3">
        <w:t xml:space="preserve"> ukupnom</w:t>
      </w:r>
      <w:r w:rsidR="00917398" w:rsidRPr="00EC14A3">
        <w:t xml:space="preserve"> iznosu 1.6</w:t>
      </w:r>
      <w:r w:rsidR="00BE7054" w:rsidRPr="00EC14A3">
        <w:t xml:space="preserve">63.031.548 kuna </w:t>
      </w:r>
      <w:r w:rsidR="00917398" w:rsidRPr="00EC14A3">
        <w:t>obuhvaćaju rashode užeg dijela</w:t>
      </w:r>
      <w:r w:rsidRPr="00EC14A3">
        <w:t xml:space="preserve"> Mi</w:t>
      </w:r>
      <w:r w:rsidR="006D65E7" w:rsidRPr="00EC14A3">
        <w:t>nistarstv</w:t>
      </w:r>
      <w:r w:rsidR="00917398" w:rsidRPr="00EC14A3">
        <w:t>a</w:t>
      </w:r>
      <w:r w:rsidR="006D65E7" w:rsidRPr="00EC14A3">
        <w:t xml:space="preserve"> financija</w:t>
      </w:r>
      <w:r w:rsidR="00917398" w:rsidRPr="00EC14A3">
        <w:t xml:space="preserve"> u iznosu</w:t>
      </w:r>
      <w:r w:rsidR="006D65E7" w:rsidRPr="00EC14A3">
        <w:t xml:space="preserve"> </w:t>
      </w:r>
      <w:r w:rsidR="000962BA" w:rsidRPr="00EC14A3">
        <w:t>187.695.117</w:t>
      </w:r>
      <w:r w:rsidR="006D65E7" w:rsidRPr="00EC14A3">
        <w:t xml:space="preserve"> k</w:t>
      </w:r>
      <w:r w:rsidR="000962BA" w:rsidRPr="00EC14A3">
        <w:t>una</w:t>
      </w:r>
      <w:r w:rsidR="00917398" w:rsidRPr="00EC14A3">
        <w:t>, Carinske</w:t>
      </w:r>
      <w:r w:rsidR="006D65E7" w:rsidRPr="00EC14A3">
        <w:t xml:space="preserve"> uprav</w:t>
      </w:r>
      <w:r w:rsidR="00917398" w:rsidRPr="00EC14A3">
        <w:t>e</w:t>
      </w:r>
      <w:r w:rsidR="006D65E7" w:rsidRPr="00EC14A3">
        <w:t xml:space="preserve"> </w:t>
      </w:r>
      <w:r w:rsidR="00917398" w:rsidRPr="00EC14A3">
        <w:t xml:space="preserve">u iznosu </w:t>
      </w:r>
      <w:r w:rsidR="000962BA" w:rsidRPr="00EC14A3">
        <w:t xml:space="preserve">557.007.983 </w:t>
      </w:r>
      <w:r w:rsidR="006D65E7" w:rsidRPr="00EC14A3">
        <w:t>k</w:t>
      </w:r>
      <w:r w:rsidR="000962BA" w:rsidRPr="00EC14A3">
        <w:t>u</w:t>
      </w:r>
      <w:r w:rsidR="006D65E7" w:rsidRPr="00EC14A3">
        <w:t>n</w:t>
      </w:r>
      <w:r w:rsidR="00BE7054" w:rsidRPr="00EC14A3">
        <w:t>e</w:t>
      </w:r>
      <w:r w:rsidR="00917398" w:rsidRPr="00EC14A3">
        <w:t>, Porezne</w:t>
      </w:r>
      <w:r w:rsidR="006D65E7" w:rsidRPr="00EC14A3">
        <w:t xml:space="preserve"> uprav</w:t>
      </w:r>
      <w:r w:rsidR="00917398" w:rsidRPr="00EC14A3">
        <w:t>e u iznosu</w:t>
      </w:r>
      <w:r w:rsidR="006D65E7" w:rsidRPr="00EC14A3">
        <w:t xml:space="preserve"> </w:t>
      </w:r>
      <w:r w:rsidR="000962BA" w:rsidRPr="00EC14A3">
        <w:t>899.894.799</w:t>
      </w:r>
      <w:r w:rsidRPr="00EC14A3">
        <w:t xml:space="preserve"> k</w:t>
      </w:r>
      <w:r w:rsidR="000962BA" w:rsidRPr="00EC14A3">
        <w:t>una</w:t>
      </w:r>
      <w:r w:rsidRPr="00EC14A3">
        <w:t xml:space="preserve">, </w:t>
      </w:r>
      <w:r w:rsidR="00917398" w:rsidRPr="00EC14A3">
        <w:t>Agencije</w:t>
      </w:r>
      <w:r w:rsidR="00F634AD" w:rsidRPr="00EC14A3">
        <w:t xml:space="preserve"> za reviziju sustava provedbe pr</w:t>
      </w:r>
      <w:r w:rsidR="006D65E7" w:rsidRPr="00EC14A3">
        <w:t>ograma E</w:t>
      </w:r>
      <w:r w:rsidR="0036208D">
        <w:t>U</w:t>
      </w:r>
      <w:r w:rsidR="006D65E7" w:rsidRPr="00EC14A3">
        <w:t xml:space="preserve"> </w:t>
      </w:r>
      <w:r w:rsidR="00455169" w:rsidRPr="00EC14A3">
        <w:t>1</w:t>
      </w:r>
      <w:r w:rsidR="000962BA" w:rsidRPr="00EC14A3">
        <w:t>8</w:t>
      </w:r>
      <w:r w:rsidR="00455169" w:rsidRPr="00EC14A3">
        <w:t>.</w:t>
      </w:r>
      <w:r w:rsidR="000962BA" w:rsidRPr="00EC14A3">
        <w:t>114</w:t>
      </w:r>
      <w:r w:rsidR="00455169" w:rsidRPr="00EC14A3">
        <w:t>.</w:t>
      </w:r>
      <w:r w:rsidR="000962BA" w:rsidRPr="00EC14A3">
        <w:t>657</w:t>
      </w:r>
      <w:r w:rsidR="00917398" w:rsidRPr="00EC14A3">
        <w:t xml:space="preserve"> kuna i</w:t>
      </w:r>
      <w:r w:rsidR="00F634AD" w:rsidRPr="00EC14A3">
        <w:t xml:space="preserve"> Odbor</w:t>
      </w:r>
      <w:r w:rsidR="00917398" w:rsidRPr="00EC14A3">
        <w:t>a</w:t>
      </w:r>
      <w:r w:rsidR="00F634AD" w:rsidRPr="00EC14A3">
        <w:t xml:space="preserve"> za standarde fi</w:t>
      </w:r>
      <w:r w:rsidR="00DE044D" w:rsidRPr="00EC14A3">
        <w:t xml:space="preserve">nancijskog izvještavanja </w:t>
      </w:r>
      <w:r w:rsidR="00917398" w:rsidRPr="00EC14A3">
        <w:t xml:space="preserve">u iznosu </w:t>
      </w:r>
      <w:r w:rsidR="00455169" w:rsidRPr="00EC14A3">
        <w:t>3</w:t>
      </w:r>
      <w:r w:rsidR="000962BA" w:rsidRPr="00EC14A3">
        <w:t>18</w:t>
      </w:r>
      <w:r w:rsidR="00455169" w:rsidRPr="00EC14A3">
        <w:t>.</w:t>
      </w:r>
      <w:r w:rsidR="000962BA" w:rsidRPr="00EC14A3">
        <w:t>992</w:t>
      </w:r>
      <w:r w:rsidR="00F634AD" w:rsidRPr="00EC14A3">
        <w:t xml:space="preserve"> k</w:t>
      </w:r>
      <w:r w:rsidR="00917398" w:rsidRPr="00EC14A3">
        <w:t>u</w:t>
      </w:r>
      <w:r w:rsidR="00F634AD" w:rsidRPr="00EC14A3">
        <w:t>n</w:t>
      </w:r>
      <w:r w:rsidR="00BE7054" w:rsidRPr="00EC14A3">
        <w:t>e</w:t>
      </w:r>
      <w:r w:rsidR="00F634AD" w:rsidRPr="00EC14A3">
        <w:t>.</w:t>
      </w:r>
    </w:p>
    <w:p w:rsidR="00B50580" w:rsidRPr="00EC14A3" w:rsidRDefault="00B50580" w:rsidP="00B50580">
      <w:pPr>
        <w:pStyle w:val="Odlomakpopisa"/>
        <w:ind w:left="0"/>
        <w:jc w:val="both"/>
      </w:pPr>
    </w:p>
    <w:p w:rsidR="00B50580" w:rsidRPr="00EC14A3" w:rsidRDefault="00917398" w:rsidP="00B50580">
      <w:pPr>
        <w:pStyle w:val="Odlomakpopisa"/>
        <w:numPr>
          <w:ilvl w:val="0"/>
          <w:numId w:val="10"/>
        </w:numPr>
        <w:ind w:left="0" w:firstLine="0"/>
        <w:jc w:val="both"/>
      </w:pPr>
      <w:r w:rsidRPr="00EC14A3">
        <w:t>AOP 005</w:t>
      </w:r>
      <w:r w:rsidR="00F634AD" w:rsidRPr="00EC14A3">
        <w:t xml:space="preserve"> Vanjski poslovi – </w:t>
      </w:r>
      <w:r w:rsidR="00BE7054" w:rsidRPr="00EC14A3">
        <w:t xml:space="preserve">rashodi </w:t>
      </w:r>
      <w:r w:rsidRPr="00EC14A3">
        <w:t>za navedenu namjenu u ukupn</w:t>
      </w:r>
      <w:r w:rsidR="00BE7054" w:rsidRPr="00EC14A3">
        <w:t xml:space="preserve">om iznosu od 28.823.690 kuna </w:t>
      </w:r>
      <w:r w:rsidRPr="00EC14A3">
        <w:t>u cijelosti se odnose</w:t>
      </w:r>
      <w:r w:rsidR="00DE044D" w:rsidRPr="00EC14A3">
        <w:t xml:space="preserve"> </w:t>
      </w:r>
      <w:r w:rsidR="00BE7054" w:rsidRPr="00EC14A3">
        <w:t xml:space="preserve">na </w:t>
      </w:r>
      <w:r w:rsidR="00DE044D" w:rsidRPr="00EC14A3">
        <w:t>Carinsk</w:t>
      </w:r>
      <w:r w:rsidRPr="00EC14A3">
        <w:t>u upravu.</w:t>
      </w:r>
    </w:p>
    <w:p w:rsidR="00F634AD" w:rsidRPr="00EC14A3" w:rsidRDefault="00DE044D" w:rsidP="00B50580">
      <w:pPr>
        <w:pStyle w:val="Odlomakpopisa"/>
        <w:ind w:left="0"/>
        <w:jc w:val="both"/>
      </w:pPr>
      <w:r w:rsidRPr="00EC14A3">
        <w:t xml:space="preserve"> </w:t>
      </w:r>
    </w:p>
    <w:p w:rsidR="00B50580" w:rsidRPr="00EC14A3" w:rsidRDefault="00917398" w:rsidP="008B0D60">
      <w:pPr>
        <w:pStyle w:val="Odlomakpopisa"/>
        <w:numPr>
          <w:ilvl w:val="0"/>
          <w:numId w:val="10"/>
        </w:numPr>
        <w:ind w:left="0" w:firstLine="0"/>
        <w:jc w:val="both"/>
      </w:pPr>
      <w:r w:rsidRPr="00EC14A3">
        <w:t xml:space="preserve">AOP 012 </w:t>
      </w:r>
      <w:r w:rsidR="00F634AD" w:rsidRPr="00EC14A3">
        <w:t xml:space="preserve">Ostale opće usluge – </w:t>
      </w:r>
      <w:r w:rsidR="00BE7054" w:rsidRPr="00EC14A3">
        <w:t xml:space="preserve">rashodi </w:t>
      </w:r>
      <w:r w:rsidRPr="00EC14A3">
        <w:t xml:space="preserve">za navedenu namjenu u ukupnom iznosu od </w:t>
      </w:r>
      <w:r w:rsidR="00BE7054" w:rsidRPr="00EC14A3">
        <w:t>176.278 kuna</w:t>
      </w:r>
      <w:r w:rsidRPr="00EC14A3">
        <w:t xml:space="preserve"> u cijelosti se odnose</w:t>
      </w:r>
      <w:r w:rsidR="00BE7054" w:rsidRPr="00EC14A3">
        <w:t xml:space="preserve"> na</w:t>
      </w:r>
      <w:r w:rsidRPr="00EC14A3">
        <w:t xml:space="preserve"> Carinsku upravu.</w:t>
      </w:r>
    </w:p>
    <w:p w:rsidR="00BE7054" w:rsidRPr="00EC14A3" w:rsidRDefault="00BE7054" w:rsidP="00BE7054">
      <w:pPr>
        <w:pStyle w:val="Odlomakpopisa"/>
        <w:ind w:left="0"/>
        <w:jc w:val="both"/>
      </w:pPr>
    </w:p>
    <w:p w:rsidR="00455169" w:rsidRPr="00EC14A3" w:rsidRDefault="00455169" w:rsidP="00B50580">
      <w:pPr>
        <w:pStyle w:val="Odlomakpopisa"/>
        <w:numPr>
          <w:ilvl w:val="0"/>
          <w:numId w:val="10"/>
        </w:numPr>
        <w:ind w:left="0" w:firstLine="0"/>
        <w:jc w:val="both"/>
      </w:pPr>
      <w:r w:rsidRPr="00EC14A3">
        <w:t xml:space="preserve">AOP 070 – Ekonomski poslovi – </w:t>
      </w:r>
      <w:r w:rsidR="00BE7054" w:rsidRPr="00EC14A3">
        <w:t xml:space="preserve">rashodi za navedenu namjenu u ukupnom iznosu od 8.161.528 kuna u cijelosti se odnose na </w:t>
      </w:r>
      <w:r w:rsidRPr="00EC14A3">
        <w:t>Porezn</w:t>
      </w:r>
      <w:r w:rsidR="00BE7054" w:rsidRPr="00EC14A3">
        <w:t>u</w:t>
      </w:r>
      <w:r w:rsidRPr="00EC14A3">
        <w:t xml:space="preserve"> uprav</w:t>
      </w:r>
      <w:r w:rsidR="00BE7054" w:rsidRPr="00EC14A3">
        <w:t>u.</w:t>
      </w:r>
    </w:p>
    <w:p w:rsidR="00726857" w:rsidRPr="00EC14A3" w:rsidRDefault="00726857" w:rsidP="00883F87">
      <w:pPr>
        <w:jc w:val="both"/>
      </w:pPr>
    </w:p>
    <w:p w:rsidR="00BE7054" w:rsidRPr="00EC14A3" w:rsidRDefault="00BE7054" w:rsidP="00883F87">
      <w:pPr>
        <w:jc w:val="both"/>
      </w:pPr>
      <w:r w:rsidRPr="00EC14A3">
        <w:t>Ukupni iznos rashoda iskazanih u Obrascu RAS-funkcijski</w:t>
      </w:r>
      <w:r w:rsidR="00EC14A3" w:rsidRPr="00EC14A3">
        <w:t xml:space="preserve"> (AOP 137)</w:t>
      </w:r>
      <w:r w:rsidRPr="00EC14A3">
        <w:t xml:space="preserve"> odgovaraju ukupno iskaz</w:t>
      </w:r>
      <w:r w:rsidR="00EC14A3" w:rsidRPr="00EC14A3">
        <w:t>anim rashodima u Obrascu PR-RAS na AOP-u 404, s tim da je AOP 234 nula.</w:t>
      </w:r>
      <w:r w:rsidRPr="00EC14A3">
        <w:t xml:space="preserve"> </w:t>
      </w:r>
    </w:p>
    <w:p w:rsidR="00726857" w:rsidRPr="00A91226" w:rsidRDefault="00726857" w:rsidP="00883F87">
      <w:pPr>
        <w:ind w:left="360"/>
        <w:jc w:val="both"/>
        <w:rPr>
          <w:color w:val="FF0000"/>
        </w:rPr>
      </w:pPr>
    </w:p>
    <w:p w:rsidR="00EC14A3" w:rsidRPr="00E30510" w:rsidRDefault="00EC14A3" w:rsidP="00B50580">
      <w:pPr>
        <w:jc w:val="center"/>
        <w:rPr>
          <w:b/>
          <w:u w:val="single"/>
        </w:rPr>
      </w:pPr>
    </w:p>
    <w:p w:rsidR="00CF3A11" w:rsidRPr="00E30510" w:rsidRDefault="00726857" w:rsidP="00B50580">
      <w:pPr>
        <w:jc w:val="center"/>
        <w:rPr>
          <w:b/>
          <w:u w:val="single"/>
        </w:rPr>
      </w:pPr>
      <w:r w:rsidRPr="00E30510">
        <w:rPr>
          <w:b/>
          <w:u w:val="single"/>
        </w:rPr>
        <w:t>BILJEŠKE UZ IZVJEŠTAJ O OBVEZAMA</w:t>
      </w:r>
    </w:p>
    <w:p w:rsidR="00B50580" w:rsidRPr="00E30510" w:rsidRDefault="00B50580" w:rsidP="00B50580">
      <w:pPr>
        <w:jc w:val="center"/>
        <w:rPr>
          <w:b/>
          <w:u w:val="single"/>
        </w:rPr>
      </w:pPr>
    </w:p>
    <w:p w:rsidR="000E21F3" w:rsidRPr="00E30510" w:rsidRDefault="000E21F3" w:rsidP="00883F87">
      <w:pPr>
        <w:jc w:val="both"/>
        <w:rPr>
          <w:b/>
          <w:u w:val="single"/>
        </w:rPr>
      </w:pPr>
    </w:p>
    <w:p w:rsidR="000E21F3" w:rsidRPr="00E30510" w:rsidRDefault="000E21F3" w:rsidP="00B50580">
      <w:pPr>
        <w:pStyle w:val="Odlomakpopisa"/>
        <w:numPr>
          <w:ilvl w:val="0"/>
          <w:numId w:val="21"/>
        </w:numPr>
        <w:ind w:left="0" w:firstLine="0"/>
        <w:jc w:val="both"/>
      </w:pPr>
      <w:r w:rsidRPr="00E30510">
        <w:t xml:space="preserve">AOP 090 </w:t>
      </w:r>
      <w:r w:rsidR="00EC14A3" w:rsidRPr="00E30510">
        <w:t>Stanje nedospjelih obveza na kra</w:t>
      </w:r>
      <w:r w:rsidR="00FE2277">
        <w:t xml:space="preserve">ju izvještajnog razdoblja iznosi </w:t>
      </w:r>
      <w:r w:rsidR="00EC14A3" w:rsidRPr="00E30510">
        <w:t xml:space="preserve">4.690.849.988 kuna, a </w:t>
      </w:r>
      <w:r w:rsidRPr="00E30510">
        <w:t>odnose se na</w:t>
      </w:r>
      <w:r w:rsidR="00EC14A3" w:rsidRPr="00E30510">
        <w:t xml:space="preserve"> obveze užeg dijela</w:t>
      </w:r>
      <w:r w:rsidRPr="00E30510">
        <w:t xml:space="preserve"> Ministars</w:t>
      </w:r>
      <w:r w:rsidR="00A85ECA" w:rsidRPr="00E30510">
        <w:t>tv</w:t>
      </w:r>
      <w:r w:rsidR="00EC14A3" w:rsidRPr="00E30510">
        <w:t>a</w:t>
      </w:r>
      <w:r w:rsidR="00A85ECA" w:rsidRPr="00E30510">
        <w:t xml:space="preserve"> financija u iznosu </w:t>
      </w:r>
      <w:r w:rsidR="00EC14A3" w:rsidRPr="00E30510">
        <w:t xml:space="preserve"> od 12.939.385</w:t>
      </w:r>
      <w:r w:rsidRPr="00E30510">
        <w:t xml:space="preserve"> </w:t>
      </w:r>
      <w:r w:rsidR="00EC14A3" w:rsidRPr="00E30510">
        <w:t>kuna</w:t>
      </w:r>
      <w:r w:rsidR="00455169" w:rsidRPr="00E30510">
        <w:t xml:space="preserve">, Carinsku upravu </w:t>
      </w:r>
      <w:r w:rsidR="00EC14A3" w:rsidRPr="00E30510">
        <w:t>u iznosu 61.643.371</w:t>
      </w:r>
      <w:r w:rsidRPr="00E30510">
        <w:t xml:space="preserve"> ku</w:t>
      </w:r>
      <w:r w:rsidR="00EC14A3" w:rsidRPr="00E30510">
        <w:t>nu</w:t>
      </w:r>
      <w:r w:rsidR="00A85ECA" w:rsidRPr="00E30510">
        <w:t xml:space="preserve">, Poreznu upravu </w:t>
      </w:r>
      <w:r w:rsidR="00EC14A3" w:rsidRPr="00E30510">
        <w:t>u iznosu 4.614.816.147</w:t>
      </w:r>
      <w:r w:rsidRPr="00E30510">
        <w:t xml:space="preserve"> kuna, Agencij</w:t>
      </w:r>
      <w:r w:rsidR="00EC14A3" w:rsidRPr="00E30510">
        <w:t>u</w:t>
      </w:r>
      <w:r w:rsidRPr="00E30510">
        <w:t xml:space="preserve"> za reviziju sustav</w:t>
      </w:r>
      <w:r w:rsidR="00A85ECA" w:rsidRPr="00E30510">
        <w:t xml:space="preserve">a provedbe programa EU </w:t>
      </w:r>
      <w:r w:rsidR="00EC14A3" w:rsidRPr="00E30510">
        <w:t xml:space="preserve">u iznosu </w:t>
      </w:r>
      <w:r w:rsidR="00455169" w:rsidRPr="00E30510">
        <w:t>1.</w:t>
      </w:r>
      <w:r w:rsidR="00EC14A3" w:rsidRPr="00E30510">
        <w:t>390</w:t>
      </w:r>
      <w:r w:rsidR="00455169" w:rsidRPr="00E30510">
        <w:t>.</w:t>
      </w:r>
      <w:r w:rsidR="00EC14A3" w:rsidRPr="00E30510">
        <w:t>522</w:t>
      </w:r>
      <w:r w:rsidRPr="00E30510">
        <w:t xml:space="preserve"> kun</w:t>
      </w:r>
      <w:r w:rsidR="00EC14A3" w:rsidRPr="00E30510">
        <w:t>e</w:t>
      </w:r>
      <w:r w:rsidRPr="00E30510">
        <w:t xml:space="preserve"> i Odbor za standard</w:t>
      </w:r>
      <w:r w:rsidR="00A85ECA" w:rsidRPr="00E30510">
        <w:t>e financijskog izvještavanja</w:t>
      </w:r>
      <w:r w:rsidR="00EC14A3" w:rsidRPr="00E30510">
        <w:t xml:space="preserve"> u iznosu</w:t>
      </w:r>
      <w:r w:rsidR="00A85ECA" w:rsidRPr="00E30510">
        <w:t xml:space="preserve"> </w:t>
      </w:r>
      <w:r w:rsidR="00EC14A3" w:rsidRPr="00E30510">
        <w:t>60.563 kune</w:t>
      </w:r>
      <w:r w:rsidRPr="00E30510">
        <w:t xml:space="preserve">. </w:t>
      </w:r>
    </w:p>
    <w:p w:rsidR="00CF3A11" w:rsidRPr="00E30510" w:rsidRDefault="00CF3A11" w:rsidP="00883F87">
      <w:pPr>
        <w:ind w:left="360"/>
        <w:jc w:val="both"/>
      </w:pPr>
    </w:p>
    <w:p w:rsidR="00E303C6" w:rsidRPr="00E30510" w:rsidRDefault="00E303C6" w:rsidP="00883F87">
      <w:pPr>
        <w:ind w:left="360"/>
        <w:jc w:val="both"/>
      </w:pPr>
    </w:p>
    <w:p w:rsidR="00E303C6" w:rsidRPr="00E30510" w:rsidRDefault="00E303C6" w:rsidP="00883F87">
      <w:pPr>
        <w:ind w:left="360"/>
        <w:jc w:val="both"/>
      </w:pPr>
    </w:p>
    <w:p w:rsidR="00E303C6" w:rsidRPr="00E30510" w:rsidRDefault="00E303C6" w:rsidP="00883F87">
      <w:pPr>
        <w:ind w:left="360"/>
        <w:jc w:val="both"/>
        <w:rPr>
          <w:b/>
        </w:rPr>
      </w:pPr>
    </w:p>
    <w:p w:rsidR="00E303C6" w:rsidRPr="00E30510" w:rsidRDefault="00E303C6" w:rsidP="00883F87">
      <w:pPr>
        <w:ind w:left="360"/>
        <w:jc w:val="both"/>
        <w:rPr>
          <w:b/>
        </w:rPr>
      </w:pP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  <w:t xml:space="preserve"> </w:t>
      </w:r>
      <w:r w:rsidR="00A91226" w:rsidRPr="00E30510">
        <w:rPr>
          <w:b/>
        </w:rPr>
        <w:t>DRŽAVNI</w:t>
      </w:r>
      <w:r w:rsidRPr="00E30510">
        <w:rPr>
          <w:b/>
        </w:rPr>
        <w:t xml:space="preserve"> TAJNIK  </w:t>
      </w:r>
    </w:p>
    <w:p w:rsidR="00E303C6" w:rsidRPr="00E30510" w:rsidRDefault="00E303C6" w:rsidP="00883F87">
      <w:pPr>
        <w:ind w:left="360"/>
        <w:jc w:val="both"/>
        <w:rPr>
          <w:b/>
        </w:rPr>
      </w:pPr>
    </w:p>
    <w:p w:rsidR="00E303C6" w:rsidRPr="00E30510" w:rsidRDefault="00E303C6" w:rsidP="00883F87">
      <w:pPr>
        <w:ind w:left="360"/>
        <w:jc w:val="both"/>
        <w:rPr>
          <w:b/>
        </w:rPr>
      </w:pP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</w:r>
      <w:r w:rsidRPr="00E30510">
        <w:rPr>
          <w:b/>
        </w:rPr>
        <w:tab/>
        <w:t xml:space="preserve">   </w:t>
      </w:r>
      <w:r w:rsidR="00A91226" w:rsidRPr="00E30510">
        <w:rPr>
          <w:b/>
        </w:rPr>
        <w:t>Zdravko Zrinušić</w:t>
      </w:r>
      <w:r w:rsidRPr="00E30510">
        <w:rPr>
          <w:b/>
        </w:rPr>
        <w:tab/>
        <w:t xml:space="preserve">                                </w:t>
      </w:r>
    </w:p>
    <w:sectPr w:rsidR="00E303C6" w:rsidRPr="00E30510" w:rsidSect="00D5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55" w:rsidRDefault="005A3855">
      <w:r>
        <w:separator/>
      </w:r>
    </w:p>
  </w:endnote>
  <w:endnote w:type="continuationSeparator" w:id="0">
    <w:p w:rsidR="005A3855" w:rsidRDefault="005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55" w:rsidRDefault="005A3855">
      <w:r>
        <w:separator/>
      </w:r>
    </w:p>
  </w:footnote>
  <w:footnote w:type="continuationSeparator" w:id="0">
    <w:p w:rsidR="005A3855" w:rsidRDefault="005A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332"/>
    <w:multiLevelType w:val="hybridMultilevel"/>
    <w:tmpl w:val="0E60F8C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B2531"/>
    <w:multiLevelType w:val="hybridMultilevel"/>
    <w:tmpl w:val="B3FC4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1766"/>
    <w:multiLevelType w:val="hybridMultilevel"/>
    <w:tmpl w:val="43043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246"/>
    <w:multiLevelType w:val="hybridMultilevel"/>
    <w:tmpl w:val="AEB03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B27FB"/>
    <w:multiLevelType w:val="hybridMultilevel"/>
    <w:tmpl w:val="ED208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711C"/>
    <w:multiLevelType w:val="hybridMultilevel"/>
    <w:tmpl w:val="8ADA51F6"/>
    <w:lvl w:ilvl="0" w:tplc="4D82D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2EF3"/>
    <w:multiLevelType w:val="hybridMultilevel"/>
    <w:tmpl w:val="81424CF0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37440"/>
    <w:multiLevelType w:val="hybridMultilevel"/>
    <w:tmpl w:val="2D4652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E4AC8"/>
    <w:multiLevelType w:val="hybridMultilevel"/>
    <w:tmpl w:val="3D64A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290C"/>
    <w:multiLevelType w:val="hybridMultilevel"/>
    <w:tmpl w:val="D3527C76"/>
    <w:lvl w:ilvl="0" w:tplc="099ACE3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F3903"/>
    <w:multiLevelType w:val="hybridMultilevel"/>
    <w:tmpl w:val="C792B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72587"/>
    <w:multiLevelType w:val="hybridMultilevel"/>
    <w:tmpl w:val="D50EF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4682C"/>
    <w:multiLevelType w:val="hybridMultilevel"/>
    <w:tmpl w:val="C21A0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39B7"/>
    <w:multiLevelType w:val="hybridMultilevel"/>
    <w:tmpl w:val="AF8A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D30CC"/>
    <w:multiLevelType w:val="hybridMultilevel"/>
    <w:tmpl w:val="3EA6BF9C"/>
    <w:lvl w:ilvl="0" w:tplc="5EBE2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E70F3"/>
    <w:multiLevelType w:val="hybridMultilevel"/>
    <w:tmpl w:val="C066B81E"/>
    <w:lvl w:ilvl="0" w:tplc="F6A82C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2B058BA"/>
    <w:multiLevelType w:val="hybridMultilevel"/>
    <w:tmpl w:val="24F07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D48C7"/>
    <w:multiLevelType w:val="hybridMultilevel"/>
    <w:tmpl w:val="401CE92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5557B"/>
    <w:multiLevelType w:val="hybridMultilevel"/>
    <w:tmpl w:val="7DF81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08DD"/>
    <w:multiLevelType w:val="hybridMultilevel"/>
    <w:tmpl w:val="09A6A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13FC8"/>
    <w:multiLevelType w:val="hybridMultilevel"/>
    <w:tmpl w:val="CCD45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475A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7"/>
  </w:num>
  <w:num w:numId="5">
    <w:abstractNumId w:val="0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20"/>
  </w:num>
  <w:num w:numId="16">
    <w:abstractNumId w:val="2"/>
  </w:num>
  <w:num w:numId="17">
    <w:abstractNumId w:val="6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3"/>
    <w:rsid w:val="000018B6"/>
    <w:rsid w:val="000065E4"/>
    <w:rsid w:val="0001381D"/>
    <w:rsid w:val="00020FDB"/>
    <w:rsid w:val="0002641A"/>
    <w:rsid w:val="00047FDB"/>
    <w:rsid w:val="00052C7E"/>
    <w:rsid w:val="00053F76"/>
    <w:rsid w:val="00067B45"/>
    <w:rsid w:val="00092249"/>
    <w:rsid w:val="000962BA"/>
    <w:rsid w:val="000968FA"/>
    <w:rsid w:val="000D1766"/>
    <w:rsid w:val="000E21F3"/>
    <w:rsid w:val="001014C3"/>
    <w:rsid w:val="00141E21"/>
    <w:rsid w:val="001714CF"/>
    <w:rsid w:val="00185CB5"/>
    <w:rsid w:val="001862A1"/>
    <w:rsid w:val="001A5C24"/>
    <w:rsid w:val="001D165E"/>
    <w:rsid w:val="001F4057"/>
    <w:rsid w:val="0020563E"/>
    <w:rsid w:val="00212AE7"/>
    <w:rsid w:val="00232495"/>
    <w:rsid w:val="002367CB"/>
    <w:rsid w:val="00247651"/>
    <w:rsid w:val="00293857"/>
    <w:rsid w:val="002A1E54"/>
    <w:rsid w:val="002A6271"/>
    <w:rsid w:val="002B5409"/>
    <w:rsid w:val="002C2025"/>
    <w:rsid w:val="002C6813"/>
    <w:rsid w:val="0031301B"/>
    <w:rsid w:val="003339AA"/>
    <w:rsid w:val="00334853"/>
    <w:rsid w:val="00350B17"/>
    <w:rsid w:val="0036208D"/>
    <w:rsid w:val="00372E2A"/>
    <w:rsid w:val="00380AA1"/>
    <w:rsid w:val="00396311"/>
    <w:rsid w:val="003C22B5"/>
    <w:rsid w:val="003D62F7"/>
    <w:rsid w:val="003E20B6"/>
    <w:rsid w:val="00400A52"/>
    <w:rsid w:val="004011AA"/>
    <w:rsid w:val="00404468"/>
    <w:rsid w:val="004112F4"/>
    <w:rsid w:val="00424295"/>
    <w:rsid w:val="00440355"/>
    <w:rsid w:val="0044542F"/>
    <w:rsid w:val="004524BC"/>
    <w:rsid w:val="0045314E"/>
    <w:rsid w:val="00455169"/>
    <w:rsid w:val="004613A7"/>
    <w:rsid w:val="00461FD2"/>
    <w:rsid w:val="00467B60"/>
    <w:rsid w:val="004864FA"/>
    <w:rsid w:val="004A3779"/>
    <w:rsid w:val="004B212B"/>
    <w:rsid w:val="004B34C3"/>
    <w:rsid w:val="004B5F02"/>
    <w:rsid w:val="004F70D8"/>
    <w:rsid w:val="00561934"/>
    <w:rsid w:val="005A3855"/>
    <w:rsid w:val="005E3554"/>
    <w:rsid w:val="005E5F1A"/>
    <w:rsid w:val="005F709C"/>
    <w:rsid w:val="00626B32"/>
    <w:rsid w:val="006404C0"/>
    <w:rsid w:val="0064610D"/>
    <w:rsid w:val="006A0C00"/>
    <w:rsid w:val="006A6216"/>
    <w:rsid w:val="006B070C"/>
    <w:rsid w:val="006B1352"/>
    <w:rsid w:val="006D65E7"/>
    <w:rsid w:val="006E6C99"/>
    <w:rsid w:val="0070294E"/>
    <w:rsid w:val="00710F5F"/>
    <w:rsid w:val="00715FED"/>
    <w:rsid w:val="007257CD"/>
    <w:rsid w:val="00726857"/>
    <w:rsid w:val="00733B94"/>
    <w:rsid w:val="00765BAD"/>
    <w:rsid w:val="00767BFB"/>
    <w:rsid w:val="00775C2B"/>
    <w:rsid w:val="00777AFB"/>
    <w:rsid w:val="0078032E"/>
    <w:rsid w:val="00783343"/>
    <w:rsid w:val="00785E7C"/>
    <w:rsid w:val="00792902"/>
    <w:rsid w:val="00792BC4"/>
    <w:rsid w:val="007942FA"/>
    <w:rsid w:val="007E3D35"/>
    <w:rsid w:val="007E42C5"/>
    <w:rsid w:val="007E7317"/>
    <w:rsid w:val="007F3350"/>
    <w:rsid w:val="007F7FBB"/>
    <w:rsid w:val="00802D9B"/>
    <w:rsid w:val="00806F97"/>
    <w:rsid w:val="0082284A"/>
    <w:rsid w:val="0082523D"/>
    <w:rsid w:val="008665D5"/>
    <w:rsid w:val="00883F87"/>
    <w:rsid w:val="00886B82"/>
    <w:rsid w:val="008A1F85"/>
    <w:rsid w:val="008B42C8"/>
    <w:rsid w:val="008B7C73"/>
    <w:rsid w:val="008E6824"/>
    <w:rsid w:val="008F4E1C"/>
    <w:rsid w:val="00917233"/>
    <w:rsid w:val="00917398"/>
    <w:rsid w:val="00936130"/>
    <w:rsid w:val="00950BD7"/>
    <w:rsid w:val="00981108"/>
    <w:rsid w:val="00993A0F"/>
    <w:rsid w:val="00A01265"/>
    <w:rsid w:val="00A027A2"/>
    <w:rsid w:val="00A2047C"/>
    <w:rsid w:val="00A26FBB"/>
    <w:rsid w:val="00A2709A"/>
    <w:rsid w:val="00A274FA"/>
    <w:rsid w:val="00A6266B"/>
    <w:rsid w:val="00A8181E"/>
    <w:rsid w:val="00A85ECA"/>
    <w:rsid w:val="00A91226"/>
    <w:rsid w:val="00A92977"/>
    <w:rsid w:val="00A938E0"/>
    <w:rsid w:val="00AB2446"/>
    <w:rsid w:val="00AB4AA8"/>
    <w:rsid w:val="00AC2DF5"/>
    <w:rsid w:val="00AC53E9"/>
    <w:rsid w:val="00AC5A84"/>
    <w:rsid w:val="00AD4522"/>
    <w:rsid w:val="00AF09BA"/>
    <w:rsid w:val="00AF185D"/>
    <w:rsid w:val="00B22B5A"/>
    <w:rsid w:val="00B24757"/>
    <w:rsid w:val="00B50580"/>
    <w:rsid w:val="00B94CD2"/>
    <w:rsid w:val="00B96EB2"/>
    <w:rsid w:val="00BE47A7"/>
    <w:rsid w:val="00BE7054"/>
    <w:rsid w:val="00BF12BB"/>
    <w:rsid w:val="00BF3BCF"/>
    <w:rsid w:val="00BF3EB7"/>
    <w:rsid w:val="00BF5111"/>
    <w:rsid w:val="00C1036D"/>
    <w:rsid w:val="00C34646"/>
    <w:rsid w:val="00C349E1"/>
    <w:rsid w:val="00C46217"/>
    <w:rsid w:val="00C63708"/>
    <w:rsid w:val="00C710FC"/>
    <w:rsid w:val="00C76D30"/>
    <w:rsid w:val="00C8382E"/>
    <w:rsid w:val="00CA3CAE"/>
    <w:rsid w:val="00CC4D64"/>
    <w:rsid w:val="00CC62F3"/>
    <w:rsid w:val="00CD4F43"/>
    <w:rsid w:val="00CD6CA7"/>
    <w:rsid w:val="00CE064D"/>
    <w:rsid w:val="00CF3A11"/>
    <w:rsid w:val="00CF7AB1"/>
    <w:rsid w:val="00D00355"/>
    <w:rsid w:val="00D231A7"/>
    <w:rsid w:val="00D25B2C"/>
    <w:rsid w:val="00D53710"/>
    <w:rsid w:val="00D60D4C"/>
    <w:rsid w:val="00D7682A"/>
    <w:rsid w:val="00D77246"/>
    <w:rsid w:val="00D84888"/>
    <w:rsid w:val="00D878A9"/>
    <w:rsid w:val="00DA4C69"/>
    <w:rsid w:val="00DE044D"/>
    <w:rsid w:val="00DE4C81"/>
    <w:rsid w:val="00DE5A30"/>
    <w:rsid w:val="00DF0A3C"/>
    <w:rsid w:val="00E303C6"/>
    <w:rsid w:val="00E30510"/>
    <w:rsid w:val="00E3126F"/>
    <w:rsid w:val="00E47567"/>
    <w:rsid w:val="00E74E87"/>
    <w:rsid w:val="00E861DD"/>
    <w:rsid w:val="00E959BD"/>
    <w:rsid w:val="00EA5D02"/>
    <w:rsid w:val="00EB493B"/>
    <w:rsid w:val="00EB6A30"/>
    <w:rsid w:val="00EC14A3"/>
    <w:rsid w:val="00EE3E34"/>
    <w:rsid w:val="00F15FDB"/>
    <w:rsid w:val="00F22CC4"/>
    <w:rsid w:val="00F24C21"/>
    <w:rsid w:val="00F3656E"/>
    <w:rsid w:val="00F42677"/>
    <w:rsid w:val="00F43BE8"/>
    <w:rsid w:val="00F62E37"/>
    <w:rsid w:val="00F634AD"/>
    <w:rsid w:val="00F72BC6"/>
    <w:rsid w:val="00F7521E"/>
    <w:rsid w:val="00F8286F"/>
    <w:rsid w:val="00F842B1"/>
    <w:rsid w:val="00F85501"/>
    <w:rsid w:val="00FC7C02"/>
    <w:rsid w:val="00FD41D6"/>
    <w:rsid w:val="00FE2277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A0A4"/>
  <w15:docId w15:val="{BF35FE04-5D40-4BDE-8C56-F807383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D4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D4F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C7C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7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864FA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F63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634A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3FA5-CE1A-456F-97E8-89F9DA1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6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Ivana Boras</cp:lastModifiedBy>
  <cp:revision>19</cp:revision>
  <cp:lastPrinted>2021-02-11T13:50:00Z</cp:lastPrinted>
  <dcterms:created xsi:type="dcterms:W3CDTF">2021-02-10T08:50:00Z</dcterms:created>
  <dcterms:modified xsi:type="dcterms:W3CDTF">2021-02-22T10:07:00Z</dcterms:modified>
</cp:coreProperties>
</file>